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35" w:type="dxa"/>
        <w:tblInd w:w="0" w:type="dxa"/>
        <w:tblLayout w:type="fixed"/>
        <w:tblCellMar>
          <w:top w:w="0" w:type="dxa"/>
          <w:left w:w="0" w:type="dxa"/>
          <w:bottom w:w="0" w:type="dxa"/>
          <w:right w:w="0" w:type="dxa"/>
        </w:tblCellMar>
      </w:tblPr>
      <w:tblGrid>
        <w:gridCol w:w="619"/>
        <w:gridCol w:w="4602"/>
        <w:gridCol w:w="3049"/>
        <w:gridCol w:w="1275"/>
        <w:gridCol w:w="1200"/>
        <w:gridCol w:w="885"/>
        <w:gridCol w:w="1170"/>
        <w:gridCol w:w="1334"/>
        <w:gridCol w:w="1"/>
      </w:tblGrid>
      <w:tr>
        <w:tblPrEx>
          <w:tblCellMar>
            <w:top w:w="0" w:type="dxa"/>
            <w:left w:w="0" w:type="dxa"/>
            <w:bottom w:w="0" w:type="dxa"/>
            <w:right w:w="0" w:type="dxa"/>
          </w:tblCellMar>
        </w:tblPrEx>
        <w:trPr>
          <w:gridAfter w:val="1"/>
          <w:wAfter w:w="1" w:type="dxa"/>
          <w:trHeight w:val="675" w:hRule="atLeast"/>
        </w:trPr>
        <w:tc>
          <w:tcPr>
            <w:tcW w:w="14134" w:type="dxa"/>
            <w:gridSpan w:val="8"/>
            <w:tcBorders>
              <w:top w:val="nil"/>
              <w:left w:val="nil"/>
              <w:bottom w:val="single" w:color="000000" w:sz="4" w:space="0"/>
              <w:right w:val="nil"/>
            </w:tcBorders>
            <w:tcMar>
              <w:top w:w="15" w:type="dxa"/>
              <w:left w:w="15" w:type="dxa"/>
              <w:right w:w="15" w:type="dxa"/>
            </w:tcMar>
            <w:vAlign w:val="center"/>
          </w:tcPr>
          <w:p>
            <w:pPr>
              <w:widowControl/>
              <w:jc w:val="left"/>
              <w:textAlignment w:val="center"/>
              <w:rPr>
                <w:rFonts w:hint="default" w:ascii="宋体" w:hAnsi="宋体" w:eastAsia="宋体" w:cs="宋体"/>
                <w:b/>
                <w:bCs/>
                <w:sz w:val="44"/>
                <w:szCs w:val="44"/>
                <w:lang w:val="en-US" w:eastAsia="zh-CN"/>
              </w:rPr>
            </w:pPr>
            <w:r>
              <w:rPr>
                <w:rFonts w:hint="eastAsia" w:ascii="宋体" w:hAnsi="宋体" w:eastAsia="宋体" w:cs="宋体"/>
                <w:b/>
                <w:color w:val="000000"/>
                <w:kern w:val="0"/>
                <w:sz w:val="32"/>
                <w:szCs w:val="32"/>
                <w:lang w:eastAsia="zh-CN"/>
              </w:rPr>
              <w:t>附件</w:t>
            </w:r>
            <w:r>
              <w:rPr>
                <w:rFonts w:hint="eastAsia" w:ascii="宋体" w:hAnsi="宋体" w:cs="宋体"/>
                <w:b/>
                <w:color w:val="000000"/>
                <w:kern w:val="0"/>
                <w:sz w:val="32"/>
                <w:szCs w:val="32"/>
                <w:lang w:val="en-US" w:eastAsia="zh-CN"/>
              </w:rPr>
              <w:t>2</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5" w:hRule="atLeast"/>
        </w:trPr>
        <w:tc>
          <w:tcPr>
            <w:tcW w:w="14135" w:type="dxa"/>
            <w:gridSpan w:val="9"/>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hint="eastAsia" w:ascii="宋体" w:hAnsi="宋体" w:eastAsia="宋体" w:cs="宋体"/>
                <w:b/>
                <w:color w:val="auto"/>
                <w:sz w:val="32"/>
                <w:szCs w:val="32"/>
              </w:rPr>
            </w:pPr>
            <w:r>
              <w:rPr>
                <w:rFonts w:hint="eastAsia" w:ascii="宋体" w:hAnsi="宋体" w:eastAsia="宋体" w:cs="宋体"/>
                <w:b/>
                <w:color w:val="auto"/>
                <w:kern w:val="0"/>
                <w:sz w:val="32"/>
                <w:szCs w:val="32"/>
              </w:rPr>
              <w:t>202</w:t>
            </w:r>
            <w:r>
              <w:rPr>
                <w:rFonts w:hint="eastAsia" w:ascii="宋体" w:hAnsi="宋体" w:cs="宋体"/>
                <w:b/>
                <w:color w:val="auto"/>
                <w:kern w:val="0"/>
                <w:sz w:val="32"/>
                <w:szCs w:val="32"/>
                <w:lang w:val="en-US" w:eastAsia="zh-CN"/>
              </w:rPr>
              <w:t>2</w:t>
            </w:r>
            <w:r>
              <w:rPr>
                <w:rFonts w:hint="eastAsia" w:ascii="宋体" w:hAnsi="宋体" w:eastAsia="宋体" w:cs="宋体"/>
                <w:b/>
                <w:color w:val="auto"/>
                <w:kern w:val="0"/>
                <w:sz w:val="32"/>
                <w:szCs w:val="32"/>
              </w:rPr>
              <w:t>年市科技计划项目（企业研发机</w:t>
            </w:r>
            <w:r>
              <w:rPr>
                <w:rFonts w:hint="eastAsia" w:ascii="宋体" w:hAnsi="宋体" w:eastAsia="宋体" w:cs="宋体"/>
                <w:b/>
                <w:color w:val="000000"/>
                <w:kern w:val="0"/>
                <w:sz w:val="32"/>
                <w:szCs w:val="32"/>
              </w:rPr>
              <w:t>构奖补方</w:t>
            </w:r>
            <w:r>
              <w:rPr>
                <w:rFonts w:hint="eastAsia" w:ascii="宋体" w:hAnsi="宋体" w:eastAsia="宋体" w:cs="宋体"/>
                <w:b/>
                <w:color w:val="auto"/>
                <w:kern w:val="0"/>
                <w:sz w:val="32"/>
                <w:szCs w:val="32"/>
              </w:rPr>
              <w:t>向）</w:t>
            </w:r>
            <w:r>
              <w:rPr>
                <w:rFonts w:hint="eastAsia" w:ascii="宋体" w:hAnsi="宋体" w:cs="宋体"/>
                <w:b/>
                <w:color w:val="000000"/>
                <w:kern w:val="0"/>
                <w:sz w:val="32"/>
                <w:szCs w:val="32"/>
                <w:lang w:eastAsia="zh-CN"/>
              </w:rPr>
              <w:t>奖补</w:t>
            </w:r>
            <w:r>
              <w:rPr>
                <w:rFonts w:hint="eastAsia" w:ascii="宋体" w:hAnsi="宋体" w:eastAsia="宋体" w:cs="宋体"/>
                <w:b/>
                <w:color w:val="000000"/>
                <w:kern w:val="0"/>
                <w:sz w:val="32"/>
                <w:szCs w:val="32"/>
              </w:rPr>
              <w:t>资金安排表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 w:hRule="atLeast"/>
        </w:trPr>
        <w:tc>
          <w:tcPr>
            <w:tcW w:w="619" w:type="dxa"/>
            <w:tcBorders>
              <w:top w:val="single" w:color="auto" w:sz="4" w:space="0"/>
              <w:lef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序号</w:t>
            </w:r>
          </w:p>
        </w:tc>
        <w:tc>
          <w:tcPr>
            <w:tcW w:w="4602"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企业研发机构名称</w:t>
            </w:r>
          </w:p>
        </w:tc>
        <w:tc>
          <w:tcPr>
            <w:tcW w:w="3049"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依 托 企 业</w:t>
            </w:r>
          </w:p>
        </w:tc>
        <w:tc>
          <w:tcPr>
            <w:tcW w:w="1275"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县（市、区）</w:t>
            </w:r>
          </w:p>
        </w:tc>
        <w:tc>
          <w:tcPr>
            <w:tcW w:w="1200"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认定时间</w:t>
            </w:r>
          </w:p>
        </w:tc>
        <w:tc>
          <w:tcPr>
            <w:tcW w:w="885"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rPr>
            </w:pPr>
            <w:r>
              <w:rPr>
                <w:rFonts w:hint="eastAsia" w:ascii="宋体" w:hAnsi="宋体" w:eastAsia="宋体" w:cs="宋体"/>
                <w:b/>
                <w:color w:val="auto"/>
                <w:kern w:val="0"/>
                <w:sz w:val="22"/>
                <w:szCs w:val="22"/>
              </w:rPr>
              <w:t>级别</w:t>
            </w:r>
          </w:p>
        </w:tc>
        <w:tc>
          <w:tcPr>
            <w:tcW w:w="1170" w:type="dxa"/>
            <w:tcBorders>
              <w:top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sz w:val="22"/>
                <w:szCs w:val="22"/>
                <w:lang w:eastAsia="zh-CN"/>
              </w:rPr>
            </w:pPr>
            <w:r>
              <w:rPr>
                <w:rFonts w:hint="eastAsia" w:ascii="宋体" w:hAnsi="宋体" w:cs="宋体"/>
                <w:b/>
                <w:color w:val="auto"/>
                <w:kern w:val="0"/>
                <w:sz w:val="22"/>
                <w:szCs w:val="22"/>
                <w:lang w:eastAsia="zh-CN"/>
              </w:rPr>
              <w:t>市财政</w:t>
            </w:r>
            <w:r>
              <w:rPr>
                <w:rFonts w:hint="eastAsia" w:ascii="宋体" w:hAnsi="宋体" w:eastAsia="宋体" w:cs="宋体"/>
                <w:b/>
                <w:color w:val="auto"/>
                <w:kern w:val="0"/>
                <w:sz w:val="22"/>
                <w:szCs w:val="22"/>
              </w:rPr>
              <w:t>奖补金额</w:t>
            </w:r>
            <w:r>
              <w:rPr>
                <w:rFonts w:hint="eastAsia" w:ascii="宋体" w:hAnsi="宋体" w:cs="宋体"/>
                <w:b/>
                <w:color w:val="auto"/>
                <w:kern w:val="0"/>
                <w:sz w:val="22"/>
                <w:szCs w:val="22"/>
                <w:lang w:eastAsia="zh-CN"/>
              </w:rPr>
              <w:t>（万元）</w:t>
            </w:r>
          </w:p>
        </w:tc>
        <w:tc>
          <w:tcPr>
            <w:tcW w:w="1335" w:type="dxa"/>
            <w:gridSpan w:val="2"/>
            <w:tcBorders>
              <w:top w:val="single" w:color="auto" w:sz="4" w:space="0"/>
              <w:right w:val="single" w:color="auto"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2"/>
                <w:szCs w:val="22"/>
                <w:lang w:eastAsia="zh-CN"/>
              </w:rPr>
            </w:pPr>
            <w:r>
              <w:rPr>
                <w:rFonts w:hint="eastAsia" w:ascii="宋体" w:hAnsi="宋体" w:eastAsia="宋体" w:cs="宋体"/>
                <w:b/>
                <w:color w:val="auto"/>
                <w:kern w:val="0"/>
                <w:sz w:val="22"/>
                <w:szCs w:val="22"/>
              </w:rPr>
              <w:t>县(市、区)</w:t>
            </w:r>
            <w:r>
              <w:rPr>
                <w:rFonts w:hint="eastAsia" w:ascii="宋体" w:hAnsi="宋体" w:cs="宋体"/>
                <w:b/>
                <w:color w:val="auto"/>
                <w:kern w:val="0"/>
                <w:sz w:val="22"/>
                <w:szCs w:val="22"/>
                <w:lang w:eastAsia="zh-CN"/>
              </w:rPr>
              <w:t>财政奖补金额（万元）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atLeast"/>
        </w:trPr>
        <w:tc>
          <w:tcPr>
            <w:tcW w:w="619" w:type="dxa"/>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b/>
                <w:color w:val="auto"/>
                <w:kern w:val="0"/>
                <w:sz w:val="24"/>
                <w:szCs w:val="24"/>
              </w:rPr>
            </w:pPr>
            <w:r>
              <w:rPr>
                <w:rFonts w:hint="eastAsia" w:ascii="宋体" w:hAnsi="宋体" w:eastAsia="宋体" w:cs="宋体"/>
                <w:color w:val="auto"/>
                <w:kern w:val="0"/>
                <w:sz w:val="24"/>
                <w:szCs w:val="24"/>
              </w:rPr>
              <w:t>1</w:t>
            </w:r>
          </w:p>
        </w:tc>
        <w:tc>
          <w:tcPr>
            <w:tcW w:w="4602" w:type="dxa"/>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color w:val="auto"/>
                <w:kern w:val="0"/>
                <w:sz w:val="24"/>
                <w:szCs w:val="24"/>
              </w:rPr>
            </w:pPr>
            <w:r>
              <w:rPr>
                <w:rFonts w:hint="eastAsia" w:ascii="宋体" w:hAnsi="宋体" w:eastAsia="宋体" w:cs="宋体"/>
                <w:i w:val="0"/>
                <w:color w:val="000000"/>
                <w:kern w:val="0"/>
                <w:sz w:val="24"/>
                <w:szCs w:val="24"/>
                <w:u w:val="none"/>
                <w:lang w:val="en-US" w:eastAsia="zh-CN" w:bidi="ar"/>
              </w:rPr>
              <w:t>广东省冰箱空调压缩机关键零部件铸造工程技术研究中心</w:t>
            </w:r>
          </w:p>
        </w:tc>
        <w:tc>
          <w:tcPr>
            <w:tcW w:w="3049" w:type="dxa"/>
            <w:shd w:val="clear" w:color="auto" w:fill="FFFFFF"/>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val="0"/>
                <w:bCs/>
                <w:color w:val="auto"/>
                <w:kern w:val="0"/>
                <w:sz w:val="24"/>
                <w:szCs w:val="24"/>
              </w:rPr>
            </w:pPr>
            <w:r>
              <w:rPr>
                <w:rFonts w:hint="eastAsia" w:ascii="宋体" w:hAnsi="宋体" w:eastAsia="宋体" w:cs="宋体"/>
                <w:i w:val="0"/>
                <w:color w:val="000000"/>
                <w:kern w:val="0"/>
                <w:sz w:val="24"/>
                <w:szCs w:val="24"/>
                <w:u w:val="none"/>
                <w:lang w:val="en-US" w:eastAsia="zh-CN" w:bidi="ar"/>
              </w:rPr>
              <w:t>韶关金宝铸造有限公司</w:t>
            </w:r>
          </w:p>
        </w:tc>
        <w:tc>
          <w:tcPr>
            <w:tcW w:w="127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eastAsia="zh-CN"/>
              </w:rPr>
            </w:pPr>
            <w:r>
              <w:rPr>
                <w:rFonts w:hint="eastAsia" w:ascii="宋体" w:hAnsi="宋体" w:eastAsia="宋体" w:cs="宋体"/>
                <w:i w:val="0"/>
                <w:color w:val="000000"/>
                <w:kern w:val="0"/>
                <w:sz w:val="24"/>
                <w:szCs w:val="24"/>
                <w:u w:val="none"/>
                <w:lang w:val="en-US" w:eastAsia="zh-CN" w:bidi="ar"/>
              </w:rPr>
              <w:t>浈江区</w:t>
            </w:r>
          </w:p>
        </w:tc>
        <w:tc>
          <w:tcPr>
            <w:tcW w:w="120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i w:val="0"/>
                <w:color w:val="000000"/>
                <w:kern w:val="0"/>
                <w:sz w:val="24"/>
                <w:szCs w:val="24"/>
                <w:u w:val="none"/>
                <w:lang w:val="en-US" w:eastAsia="zh-CN" w:bidi="ar"/>
              </w:rPr>
              <w:t>2021.08</w:t>
            </w:r>
          </w:p>
        </w:tc>
        <w:tc>
          <w:tcPr>
            <w:tcW w:w="88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eastAsia="zh-CN"/>
              </w:rPr>
            </w:pPr>
            <w:r>
              <w:rPr>
                <w:rFonts w:hint="eastAsia" w:ascii="宋体" w:hAnsi="宋体" w:eastAsia="宋体" w:cs="宋体"/>
                <w:i w:val="0"/>
                <w:color w:val="000000"/>
                <w:kern w:val="0"/>
                <w:sz w:val="24"/>
                <w:szCs w:val="24"/>
                <w:u w:val="none"/>
                <w:lang w:val="en-US" w:eastAsia="zh-CN" w:bidi="ar"/>
              </w:rPr>
              <w:t>省级</w:t>
            </w:r>
          </w:p>
        </w:tc>
        <w:tc>
          <w:tcPr>
            <w:tcW w:w="117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i w:val="0"/>
                <w:color w:val="000000"/>
                <w:kern w:val="0"/>
                <w:sz w:val="24"/>
                <w:szCs w:val="24"/>
                <w:u w:val="none"/>
                <w:lang w:val="en-US" w:eastAsia="zh-CN" w:bidi="ar"/>
              </w:rPr>
              <w:t>10</w:t>
            </w:r>
          </w:p>
        </w:tc>
        <w:tc>
          <w:tcPr>
            <w:tcW w:w="1335" w:type="dxa"/>
            <w:gridSpan w:val="2"/>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val="0"/>
                <w:bCs/>
                <w:color w:val="auto"/>
                <w:kern w:val="0"/>
                <w:sz w:val="24"/>
                <w:szCs w:val="24"/>
                <w:lang w:val="en-US" w:eastAsia="zh-CN"/>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2</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广东省家用搅拌器及眼镜五金件工程技术研究中心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新丰县永强五金制品公司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7"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3</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广东省雷电在线监测系统工程技术研究中心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韶关高尔德防雷科技有限公司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乐昌</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4</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广东省新能源汽车精锻零部件工程技术研究中心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广东韶铸精锻有限公司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浈江区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rPr>
            </w:pPr>
            <w:r>
              <w:rPr>
                <w:rFonts w:hint="eastAsia" w:ascii="宋体" w:hAnsi="宋体" w:eastAsia="宋体" w:cs="宋体"/>
                <w:color w:val="auto"/>
                <w:kern w:val="0"/>
                <w:sz w:val="24"/>
                <w:szCs w:val="24"/>
              </w:rPr>
              <w:t>5</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广东省铅锌矿采掘固废资源处理工程技术研究中心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深圳市中金岭南有色金属股份有限公司凡口铅锌矿</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rPr>
              <w:t>6</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广东省新型环保刨花板工程技术研究中心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鸿伟木业（仁化）有限公司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rPr>
              <w:t>7</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广东省建筑装饰用功能型水性涂料工程技术研究中心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韶关市合众化工有限公司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cs="宋体"/>
                <w:i w:val="0"/>
                <w:color w:val="000000"/>
                <w:kern w:val="0"/>
                <w:sz w:val="24"/>
                <w:szCs w:val="24"/>
                <w:u w:val="none"/>
                <w:lang w:val="en-US" w:eastAsia="zh-CN" w:bidi="ar"/>
              </w:rPr>
              <w:t>韶关高</w:t>
            </w:r>
            <w:r>
              <w:rPr>
                <w:rFonts w:hint="eastAsia" w:ascii="宋体" w:hAnsi="宋体" w:eastAsia="宋体" w:cs="宋体"/>
                <w:i w:val="0"/>
                <w:color w:val="000000"/>
                <w:kern w:val="0"/>
                <w:sz w:val="24"/>
                <w:szCs w:val="24"/>
                <w:u w:val="none"/>
                <w:lang w:val="en-US" w:eastAsia="zh-CN" w:bidi="ar"/>
              </w:rPr>
              <w:t>新区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cs="宋体"/>
                <w:color w:val="auto"/>
                <w:kern w:val="0"/>
                <w:sz w:val="24"/>
                <w:szCs w:val="24"/>
                <w:lang w:val="en-US" w:eastAsia="zh-CN"/>
              </w:rPr>
              <w:t>8</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广东省环保精密焊接与三防保护新材料工程技术研究中心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广东金鸿泰化工新材料有限公司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val="en-US" w:eastAsia="zh-CN"/>
              </w:rPr>
              <w:t>9</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广东省精细和专用化学品莱雅工程技术研究中心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广东莱雅新化工科技有限公司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cs="宋体"/>
                <w:i w:val="0"/>
                <w:color w:val="000000"/>
                <w:kern w:val="0"/>
                <w:sz w:val="24"/>
                <w:szCs w:val="24"/>
                <w:u w:val="none"/>
                <w:lang w:val="en-US" w:eastAsia="zh-CN" w:bidi="ar"/>
              </w:rPr>
              <w:t>韶关高</w:t>
            </w:r>
            <w:r>
              <w:rPr>
                <w:rFonts w:hint="eastAsia" w:ascii="宋体" w:hAnsi="宋体" w:eastAsia="宋体" w:cs="宋体"/>
                <w:i w:val="0"/>
                <w:color w:val="000000"/>
                <w:kern w:val="0"/>
                <w:sz w:val="24"/>
                <w:szCs w:val="24"/>
                <w:u w:val="none"/>
                <w:lang w:val="en-US" w:eastAsia="zh-CN" w:bidi="ar"/>
              </w:rPr>
              <w:t>新区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0</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广东省高性能涂料用树脂工程技术研究中心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广东邦弗特新材料有限公司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1</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广东省铝型材（系统门窗）工程技术研究中心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仁化县博世铝业有限公司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2</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广东省生猪种质资源与无抗技术工程技术研究中心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广东广汇农牧有限公司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浈江区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3</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广东省食用菌星河生物工程技术研究中心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韶关市星河生物科技有限公司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4</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广东省智能感知与大数据处理工程技术研究中心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韶关学院</w:t>
            </w:r>
          </w:p>
        </w:tc>
        <w:tc>
          <w:tcPr>
            <w:tcW w:w="1275" w:type="dxa"/>
            <w:tcMar>
              <w:top w:w="15" w:type="dxa"/>
              <w:left w:w="15" w:type="dxa"/>
              <w:right w:w="15" w:type="dxa"/>
            </w:tcMar>
            <w:vAlign w:val="center"/>
          </w:tcPr>
          <w:p>
            <w:pPr>
              <w:jc w:val="center"/>
              <w:rPr>
                <w:rFonts w:hint="eastAsia" w:ascii="宋体" w:hAnsi="宋体" w:eastAsia="宋体" w:cs="宋体"/>
                <w:color w:val="auto"/>
                <w:sz w:val="24"/>
                <w:szCs w:val="24"/>
              </w:rPr>
            </w:pP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2021.08</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省级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15</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韶关市再生混凝土工程技术研究中心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翁源县安和混凝土有限公司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翁源县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6</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韶关市润粮农产品工程技术研究中心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广东润粮农业科技有限公司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乐昌市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7</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韶关市鑫源环保危险废物处理处置工程技术研究中心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乳源瑶族自治县鑫源环保金属科技有限公司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1</w:t>
            </w:r>
            <w:r>
              <w:rPr>
                <w:rFonts w:hint="eastAsia" w:ascii="宋体" w:hAnsi="宋体" w:cs="宋体"/>
                <w:color w:val="auto"/>
                <w:kern w:val="0"/>
                <w:sz w:val="24"/>
                <w:szCs w:val="24"/>
                <w:lang w:val="en-US" w:eastAsia="zh-CN"/>
              </w:rPr>
              <w:t>8</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韶关市新型阀控式免维护铅酸蓄电池工程技术研究中心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广东志成冠军电气器材科技有限公司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19</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韶关市高强度硅酸盐水泥工程技术研究中心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仁化县达昌建材凡口水泥有限公司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0</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韶关市高纯铝铸锭工程技术研究中心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乳源瑶族自治县东阳光高纯新材料有限公司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1</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韶关市涂膜铝壳工程技术研究中心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韶关源康机电有限公司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2</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韶关市柑橘工程技术研究中心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仁化县和而友生态农业有限公司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3</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韶关市丹霞贡柑工程技术研究中心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仁化县橘颂生态农业有限公司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仁化县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4</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韶关市山地风电工程技术研究中心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乳源瑶族自治县粤水电能源有限公司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乳源县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2021.05</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5</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韶关市食用菌全产业链工程技术研究中心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广东亚北农副产品有限公司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6</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韶关市先进硅材料工程技术研究中心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国科广化（南雄）新材料研究院有限公司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7</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韶关市脐橙产业工程技术研究中心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南雄市景元农业科技有限公司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2</w:t>
            </w:r>
            <w:r>
              <w:rPr>
                <w:rFonts w:hint="eastAsia" w:ascii="宋体" w:hAnsi="宋体" w:cs="宋体"/>
                <w:color w:val="auto"/>
                <w:kern w:val="0"/>
                <w:sz w:val="24"/>
                <w:szCs w:val="24"/>
                <w:lang w:val="en-US" w:eastAsia="zh-CN"/>
              </w:rPr>
              <w:t>8</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韶关市纸浆模塑工程技术研究中心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韶能集团绿洲生态（新丰）科技有限公司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default" w:ascii="宋体" w:hAnsi="宋体" w:eastAsia="宋体" w:cs="宋体"/>
                <w:color w:val="auto"/>
                <w:sz w:val="24"/>
                <w:szCs w:val="24"/>
                <w:lang w:val="en-US" w:eastAsia="zh-CN"/>
              </w:rPr>
            </w:pPr>
            <w:r>
              <w:rPr>
                <w:rFonts w:hint="eastAsia" w:ascii="宋体" w:hAnsi="宋体" w:cs="宋体"/>
                <w:color w:val="auto"/>
                <w:kern w:val="0"/>
                <w:sz w:val="24"/>
                <w:szCs w:val="24"/>
                <w:lang w:val="en-US" w:eastAsia="zh-CN"/>
              </w:rPr>
              <w:t>29</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韶关市新型高分子修复材料（原子灰）工程技术研究中心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翁源县中瀚民福涂料有限公司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翁源县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0</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韶关市汽车防护杠自动化生产工程技术研究中心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乐昌市鑫东穗汽车用品有限公司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乐昌市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1</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韶关市城乡及工业固废资源综合利用工程技术研究中心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广东华电韶关热电有限公司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2</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韶关市石灰石矿产资源综合利用（龙韶）工程技术研究中心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韶关市龙韶实业有限公司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武江区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highlight w:val="none"/>
              </w:rPr>
            </w:pPr>
            <w:r>
              <w:rPr>
                <w:rFonts w:hint="eastAsia" w:ascii="宋体" w:hAnsi="宋体" w:eastAsia="宋体" w:cs="宋体"/>
                <w:i w:val="0"/>
                <w:color w:val="auto"/>
                <w:kern w:val="0"/>
                <w:sz w:val="24"/>
                <w:szCs w:val="24"/>
                <w:highlight w:val="none"/>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3</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韶关市PCB电子化学品工程技术研究中心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南雄市科鼎化工有限公司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4</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韶关市绿色地坪涂料工程技术研究中心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新丰见微化工实业有限公司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5</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韶关市全自动水平造型机工程技术研究中心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韶关一本机械设备有限公司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6</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韶关市聚酰胺材料研究工程中心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广东沃府实业有限公司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乐昌市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7</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韶关市无纺布制品工程技术研究中心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联丰医用卫生材料（始兴）有限公司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始兴县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3.43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3</w:t>
            </w:r>
            <w:r>
              <w:rPr>
                <w:rFonts w:hint="eastAsia" w:ascii="宋体" w:hAnsi="宋体" w:cs="宋体"/>
                <w:color w:val="auto"/>
                <w:kern w:val="0"/>
                <w:sz w:val="24"/>
                <w:szCs w:val="24"/>
                <w:lang w:val="en-US" w:eastAsia="zh-CN"/>
              </w:rPr>
              <w:t>8</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韶关市清洗剂专用表面活性剂工程技术研究中心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广东荣强化学有限公司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cs="宋体"/>
                <w:color w:val="auto"/>
                <w:kern w:val="0"/>
                <w:sz w:val="24"/>
                <w:szCs w:val="24"/>
                <w:lang w:val="en-US" w:eastAsia="zh-CN"/>
              </w:rPr>
              <w:t>39</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韶关市球墨铸铁金属材料工程技术研究中心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广东金志利科技有限公司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0</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韶关市热固性树脂浸渍纸高压层积板工程技术研究中心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广东兆盈合成新材有限公司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新丰县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4"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000000" w:themeColor="text1"/>
                <w:kern w:val="2"/>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r>
              <w:rPr>
                <w:rFonts w:hint="eastAsia" w:ascii="宋体" w:hAnsi="宋体" w:cs="宋体"/>
                <w:color w:val="000000" w:themeColor="text1"/>
                <w:kern w:val="0"/>
                <w:sz w:val="24"/>
                <w:szCs w:val="24"/>
                <w:lang w:val="en-US" w:eastAsia="zh-CN"/>
                <w14:textFill>
                  <w14:solidFill>
                    <w14:schemeClr w14:val="tx1"/>
                  </w14:solidFill>
                </w14:textFill>
              </w:rPr>
              <w:t>1</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韶关市功能性萜烯树脂（林和）工程技术研究中心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韶关林和林产科技有限公司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新丰县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i w:val="0"/>
                <w:color w:val="000000" w:themeColor="text1"/>
                <w:kern w:val="0"/>
                <w:sz w:val="24"/>
                <w:szCs w:val="24"/>
                <w:highlight w:val="none"/>
                <w:u w:val="none"/>
                <w:lang w:val="en-US" w:eastAsia="zh-CN"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2</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韶关市全透明水晶钢琴工程技术研究中心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南雄市海伦罗曼钢琴有限公司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南雄市</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3</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韶关市不饱和聚酯树脂工程技术研究中心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广东汇泉联骏化学工业有限公司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翁源县</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rPr>
              <w:t>4</w:t>
            </w:r>
            <w:r>
              <w:rPr>
                <w:rFonts w:hint="eastAsia" w:ascii="宋体" w:hAnsi="宋体" w:cs="宋体"/>
                <w:color w:val="auto"/>
                <w:kern w:val="0"/>
                <w:sz w:val="24"/>
                <w:szCs w:val="24"/>
                <w:lang w:val="en-US" w:eastAsia="zh-CN"/>
              </w:rPr>
              <w:t>4</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韶关市污染土壤及固体废物污染控制与资源化综合利用工程技术研究中心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广东韶科环保科技有限公司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cs="宋体"/>
                <w:i w:val="0"/>
                <w:color w:val="000000"/>
                <w:kern w:val="0"/>
                <w:sz w:val="24"/>
                <w:szCs w:val="24"/>
                <w:u w:val="none"/>
                <w:lang w:val="en-US" w:eastAsia="zh-CN" w:bidi="ar"/>
              </w:rPr>
              <w:t>韶关高</w:t>
            </w:r>
            <w:r>
              <w:rPr>
                <w:rFonts w:hint="eastAsia" w:ascii="宋体" w:hAnsi="宋体" w:eastAsia="宋体" w:cs="宋体"/>
                <w:i w:val="0"/>
                <w:color w:val="000000"/>
                <w:kern w:val="0"/>
                <w:sz w:val="24"/>
                <w:szCs w:val="24"/>
                <w:u w:val="none"/>
                <w:lang w:val="en-US" w:eastAsia="zh-CN" w:bidi="ar"/>
              </w:rPr>
              <w:t>新区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4"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cs="宋体"/>
                <w:color w:val="auto"/>
                <w:kern w:val="0"/>
                <w:sz w:val="24"/>
                <w:szCs w:val="24"/>
                <w:lang w:val="en-US" w:eastAsia="zh-CN"/>
              </w:rPr>
              <w:t>5</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韶关市水性树脂及水性涂料工程技术研究中心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科控环保材料（韶关）有限公司</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cs="宋体"/>
                <w:i w:val="0"/>
                <w:color w:val="000000"/>
                <w:kern w:val="0"/>
                <w:sz w:val="24"/>
                <w:szCs w:val="24"/>
                <w:u w:val="none"/>
                <w:lang w:val="en-US" w:eastAsia="zh-CN" w:bidi="ar"/>
              </w:rPr>
              <w:t>韶关高</w:t>
            </w:r>
            <w:r>
              <w:rPr>
                <w:rFonts w:hint="eastAsia" w:ascii="宋体" w:hAnsi="宋体" w:eastAsia="宋体" w:cs="宋体"/>
                <w:i w:val="0"/>
                <w:color w:val="000000"/>
                <w:kern w:val="0"/>
                <w:sz w:val="24"/>
                <w:szCs w:val="24"/>
                <w:u w:val="none"/>
                <w:lang w:val="en-US" w:eastAsia="zh-CN" w:bidi="ar"/>
              </w:rPr>
              <w:t>新区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2021.12</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10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cs="宋体"/>
                <w:color w:val="auto"/>
                <w:kern w:val="0"/>
                <w:sz w:val="24"/>
                <w:szCs w:val="24"/>
                <w:lang w:val="en-US" w:eastAsia="zh-CN"/>
              </w:rPr>
              <w:t>6</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韶关市生态文化大数据工程技术研究中心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广东松山职业技术学院</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default" w:ascii="宋体" w:hAnsi="宋体" w:eastAsia="宋体" w:cs="宋体"/>
                <w:color w:val="auto"/>
                <w:kern w:val="2"/>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cs="宋体"/>
                <w:color w:val="auto"/>
                <w:kern w:val="0"/>
                <w:sz w:val="24"/>
                <w:szCs w:val="24"/>
                <w:lang w:val="en-US" w:eastAsia="zh-CN"/>
              </w:rPr>
              <w:t>7</w:t>
            </w:r>
          </w:p>
        </w:tc>
        <w:tc>
          <w:tcPr>
            <w:tcW w:w="4602"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韶关市智慧视觉工程技术研究中心</w:t>
            </w:r>
          </w:p>
        </w:tc>
        <w:tc>
          <w:tcPr>
            <w:tcW w:w="3049" w:type="dxa"/>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广东松山职业技术学院</w:t>
            </w:r>
          </w:p>
        </w:tc>
        <w:tc>
          <w:tcPr>
            <w:tcW w:w="127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曲江区</w:t>
            </w:r>
          </w:p>
        </w:tc>
        <w:tc>
          <w:tcPr>
            <w:tcW w:w="120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2021.07</w:t>
            </w:r>
          </w:p>
        </w:tc>
        <w:tc>
          <w:tcPr>
            <w:tcW w:w="885"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auto"/>
                <w:sz w:val="24"/>
                <w:szCs w:val="24"/>
              </w:rPr>
            </w:pPr>
            <w:r>
              <w:rPr>
                <w:rFonts w:hint="eastAsia" w:ascii="宋体" w:hAnsi="宋体" w:eastAsia="宋体" w:cs="宋体"/>
                <w:i w:val="0"/>
                <w:color w:val="000000"/>
                <w:kern w:val="0"/>
                <w:sz w:val="24"/>
                <w:szCs w:val="24"/>
                <w:u w:val="none"/>
                <w:lang w:val="en-US" w:eastAsia="zh-CN" w:bidi="ar"/>
              </w:rPr>
              <w:t>市级</w:t>
            </w: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619" w:type="dxa"/>
            <w:tcMar>
              <w:top w:w="15" w:type="dxa"/>
              <w:left w:w="15" w:type="dxa"/>
              <w:right w:w="15" w:type="dxa"/>
            </w:tcMar>
            <w:vAlign w:val="center"/>
          </w:tcPr>
          <w:p>
            <w:pPr>
              <w:widowControl/>
              <w:jc w:val="center"/>
              <w:textAlignment w:val="center"/>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合计</w:t>
            </w:r>
          </w:p>
        </w:tc>
        <w:tc>
          <w:tcPr>
            <w:tcW w:w="11011" w:type="dxa"/>
            <w:gridSpan w:val="5"/>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4"/>
                <w:szCs w:val="24"/>
                <w:u w:val="none"/>
                <w:lang w:val="en-US" w:eastAsia="zh-CN" w:bidi="ar"/>
              </w:rPr>
            </w:pPr>
          </w:p>
        </w:tc>
        <w:tc>
          <w:tcPr>
            <w:tcW w:w="1170" w:type="dxa"/>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330</w:t>
            </w:r>
          </w:p>
        </w:tc>
        <w:tc>
          <w:tcPr>
            <w:tcW w:w="1335" w:type="dxa"/>
            <w:gridSpan w:val="2"/>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4"/>
                <w:szCs w:val="24"/>
                <w:u w:val="none"/>
                <w:lang w:val="en-US" w:eastAsia="zh-CN" w:bidi="ar"/>
              </w:rPr>
            </w:pPr>
            <w:r>
              <w:rPr>
                <w:rFonts w:hint="eastAsia" w:ascii="宋体" w:hAnsi="宋体" w:cs="宋体"/>
                <w:i w:val="0"/>
                <w:color w:val="auto"/>
                <w:kern w:val="0"/>
                <w:sz w:val="24"/>
                <w:szCs w:val="24"/>
                <w:u w:val="none"/>
                <w:lang w:val="en-US" w:eastAsia="zh-CN" w:bidi="ar"/>
              </w:rPr>
              <w:t>129.28</w:t>
            </w:r>
          </w:p>
        </w:tc>
      </w:tr>
    </w:tbl>
    <w:p/>
    <w:sectPr>
      <w:pgSz w:w="16838" w:h="11906" w:orient="landscape"/>
      <w:pgMar w:top="1803" w:right="1440" w:bottom="1803" w:left="1440" w:header="851" w:footer="992" w:gutter="0"/>
      <w:pgBorders>
        <w:top w:val="none" w:sz="0" w:space="0"/>
        <w:left w:val="none" w:sz="0" w:space="0"/>
        <w:bottom w:val="none" w:sz="0" w:space="0"/>
        <w:right w:val="none" w:sz="0" w:space="0"/>
      </w:pgBorders>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773A5"/>
    <w:rsid w:val="037A70F6"/>
    <w:rsid w:val="044C2321"/>
    <w:rsid w:val="06E44A5A"/>
    <w:rsid w:val="07D428CA"/>
    <w:rsid w:val="08E3574E"/>
    <w:rsid w:val="0A084DE3"/>
    <w:rsid w:val="0C997365"/>
    <w:rsid w:val="0CBB3892"/>
    <w:rsid w:val="0D42368A"/>
    <w:rsid w:val="0F245FD8"/>
    <w:rsid w:val="10533FAF"/>
    <w:rsid w:val="115C7797"/>
    <w:rsid w:val="11992367"/>
    <w:rsid w:val="123A4893"/>
    <w:rsid w:val="131728ED"/>
    <w:rsid w:val="14F722B7"/>
    <w:rsid w:val="160F2E0A"/>
    <w:rsid w:val="174F13F5"/>
    <w:rsid w:val="18B155C2"/>
    <w:rsid w:val="1B784614"/>
    <w:rsid w:val="1CE952C7"/>
    <w:rsid w:val="1E885289"/>
    <w:rsid w:val="1EC557AA"/>
    <w:rsid w:val="231E355E"/>
    <w:rsid w:val="23994316"/>
    <w:rsid w:val="25D438F6"/>
    <w:rsid w:val="26474AB0"/>
    <w:rsid w:val="26512589"/>
    <w:rsid w:val="2713488A"/>
    <w:rsid w:val="292C71BB"/>
    <w:rsid w:val="29C67D46"/>
    <w:rsid w:val="2A536FA4"/>
    <w:rsid w:val="2AA10F1A"/>
    <w:rsid w:val="2B89150C"/>
    <w:rsid w:val="2E11639D"/>
    <w:rsid w:val="2E2F7167"/>
    <w:rsid w:val="31C156F0"/>
    <w:rsid w:val="32395FA9"/>
    <w:rsid w:val="35B3B86C"/>
    <w:rsid w:val="35F9401F"/>
    <w:rsid w:val="36A57C35"/>
    <w:rsid w:val="380A6B07"/>
    <w:rsid w:val="381406E3"/>
    <w:rsid w:val="381E2AD0"/>
    <w:rsid w:val="38272D9B"/>
    <w:rsid w:val="3A5C6B04"/>
    <w:rsid w:val="3B2C7766"/>
    <w:rsid w:val="3CF12C73"/>
    <w:rsid w:val="3CF541DE"/>
    <w:rsid w:val="3D855181"/>
    <w:rsid w:val="3FEB31F6"/>
    <w:rsid w:val="3FFE0F6B"/>
    <w:rsid w:val="40B20037"/>
    <w:rsid w:val="42671215"/>
    <w:rsid w:val="446C5669"/>
    <w:rsid w:val="45340F27"/>
    <w:rsid w:val="45EB210C"/>
    <w:rsid w:val="474B24B0"/>
    <w:rsid w:val="478F2ADC"/>
    <w:rsid w:val="48B61D41"/>
    <w:rsid w:val="491A1F0B"/>
    <w:rsid w:val="4CDA1159"/>
    <w:rsid w:val="4D523F72"/>
    <w:rsid w:val="4E8D2796"/>
    <w:rsid w:val="508A7B15"/>
    <w:rsid w:val="508B6407"/>
    <w:rsid w:val="50A02008"/>
    <w:rsid w:val="52E65061"/>
    <w:rsid w:val="53B57905"/>
    <w:rsid w:val="53CF639B"/>
    <w:rsid w:val="54CB5E07"/>
    <w:rsid w:val="56E74168"/>
    <w:rsid w:val="57016DFE"/>
    <w:rsid w:val="577219F7"/>
    <w:rsid w:val="58DE1C75"/>
    <w:rsid w:val="59275808"/>
    <w:rsid w:val="5FDB5F49"/>
    <w:rsid w:val="600F248E"/>
    <w:rsid w:val="60184C49"/>
    <w:rsid w:val="612414CA"/>
    <w:rsid w:val="63286712"/>
    <w:rsid w:val="648505A0"/>
    <w:rsid w:val="64A13B33"/>
    <w:rsid w:val="652A0316"/>
    <w:rsid w:val="65E543C9"/>
    <w:rsid w:val="69F47750"/>
    <w:rsid w:val="6BC70A54"/>
    <w:rsid w:val="6DCE58D9"/>
    <w:rsid w:val="6E326ED0"/>
    <w:rsid w:val="709A5D15"/>
    <w:rsid w:val="70D8796E"/>
    <w:rsid w:val="72350AA2"/>
    <w:rsid w:val="7271473A"/>
    <w:rsid w:val="73040602"/>
    <w:rsid w:val="77566AB5"/>
    <w:rsid w:val="77C27892"/>
    <w:rsid w:val="784105A0"/>
    <w:rsid w:val="7BB0051E"/>
    <w:rsid w:val="7E9030F7"/>
    <w:rsid w:val="7F414745"/>
    <w:rsid w:val="7F8A06E1"/>
    <w:rsid w:val="7FD773A5"/>
    <w:rsid w:val="BACF3C28"/>
    <w:rsid w:val="BF6B376F"/>
    <w:rsid w:val="DDDB807D"/>
    <w:rsid w:val="F4FFF5A0"/>
    <w:rsid w:val="F7D4256A"/>
    <w:rsid w:val="FF3F2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2021-01-25T12:00:00Z</dcterms:created>
  <dc:creator>kjjzbb</dc:creator>
  <cp:lastModifiedBy>谢海棠</cp:lastModifiedBy>
  <dcterms:modified xsi:type="dcterms:W3CDTF">2022-10-13T12:07:58Z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ribbonExt">
    <vt:lpwstr>{"WPSExtOfficeTab":{"OnGetEnabled":false,"OnGetVisible":false}}</vt:lpwstr>
  </property>
</Properties>
</file>