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A2EE95">
      <w:pPr>
        <w:jc w:val="center"/>
        <w:rPr>
          <w:rFonts w:hint="eastAsia" w:ascii="方正小标宋简体" w:hAnsi="方正小标宋简体" w:eastAsia="方正小标宋简体" w:cs="方正小标宋简体"/>
          <w:b w:val="0"/>
          <w:bCs w:val="0"/>
          <w:sz w:val="32"/>
          <w:szCs w:val="32"/>
          <w:vertAlign w:val="baseline"/>
          <w:lang w:val="en-US" w:eastAsia="zh-CN"/>
        </w:rPr>
      </w:pPr>
      <w:r>
        <w:rPr>
          <w:rFonts w:hint="eastAsia" w:ascii="方正小标宋简体" w:hAnsi="方正小标宋简体" w:eastAsia="方正小标宋简体" w:cs="方正小标宋简体"/>
          <w:b w:val="0"/>
          <w:bCs w:val="0"/>
          <w:sz w:val="32"/>
          <w:szCs w:val="32"/>
          <w:vertAlign w:val="baseline"/>
          <w:lang w:val="en-US" w:eastAsia="zh-CN"/>
        </w:rPr>
        <w:t>乳源瑶族自治县委党校新校区配套设施设备项目政府采购代理机构</w:t>
      </w:r>
    </w:p>
    <w:p w14:paraId="2E52D47C">
      <w:pPr>
        <w:jc w:val="center"/>
        <w:rPr>
          <w:rFonts w:hint="default" w:ascii="仿宋" w:hAnsi="仿宋" w:eastAsia="仿宋" w:cs="仿宋"/>
          <w:b w:val="0"/>
          <w:bCs w:val="0"/>
          <w:kern w:val="2"/>
          <w:sz w:val="32"/>
          <w:szCs w:val="32"/>
          <w:lang w:val="en-US" w:eastAsia="zh-CN" w:bidi="ar-SA"/>
        </w:rPr>
      </w:pPr>
      <w:r>
        <w:rPr>
          <w:rFonts w:hint="eastAsia" w:ascii="方正小标宋简体" w:hAnsi="方正小标宋简体" w:eastAsia="方正小标宋简体" w:cs="方正小标宋简体"/>
          <w:b w:val="0"/>
          <w:bCs w:val="0"/>
          <w:sz w:val="32"/>
          <w:szCs w:val="32"/>
          <w:vertAlign w:val="baseline"/>
          <w:lang w:val="en-US" w:eastAsia="zh-CN"/>
        </w:rPr>
        <w:t>比选评价指标</w:t>
      </w:r>
    </w:p>
    <w:tbl>
      <w:tblPr>
        <w:tblStyle w:val="4"/>
        <w:tblW w:w="11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5"/>
        <w:gridCol w:w="1637"/>
        <w:gridCol w:w="569"/>
        <w:gridCol w:w="7185"/>
        <w:gridCol w:w="734"/>
      </w:tblGrid>
      <w:tr w14:paraId="7F0DE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blHeader/>
          <w:jc w:val="center"/>
        </w:trPr>
        <w:tc>
          <w:tcPr>
            <w:tcW w:w="1175" w:type="dxa"/>
            <w:vAlign w:val="center"/>
          </w:tcPr>
          <w:p w14:paraId="5EB208A2">
            <w:pPr>
              <w:jc w:val="center"/>
              <w:rPr>
                <w:rFonts w:hint="eastAsia" w:ascii="国标楷体" w:hAnsi="国标楷体" w:eastAsia="国标楷体" w:cs="国标楷体"/>
                <w:b w:val="0"/>
                <w:bCs w:val="0"/>
                <w:sz w:val="24"/>
                <w:szCs w:val="24"/>
                <w:vertAlign w:val="baseline"/>
                <w:lang w:val="en-US" w:eastAsia="zh-CN"/>
              </w:rPr>
            </w:pPr>
            <w:r>
              <w:rPr>
                <w:rFonts w:hint="eastAsia" w:ascii="国标楷体" w:hAnsi="国标楷体" w:eastAsia="国标楷体" w:cs="国标楷体"/>
                <w:b w:val="0"/>
                <w:bCs w:val="0"/>
                <w:sz w:val="24"/>
                <w:szCs w:val="24"/>
                <w:vertAlign w:val="baseline"/>
                <w:lang w:val="en-US" w:eastAsia="zh-CN"/>
              </w:rPr>
              <w:t>一级</w:t>
            </w:r>
          </w:p>
          <w:p w14:paraId="1E57F196">
            <w:pPr>
              <w:jc w:val="center"/>
              <w:rPr>
                <w:rFonts w:hint="eastAsia" w:ascii="国标楷体" w:hAnsi="国标楷体" w:eastAsia="国标楷体" w:cs="国标楷体"/>
                <w:b w:val="0"/>
                <w:bCs w:val="0"/>
                <w:sz w:val="24"/>
                <w:szCs w:val="24"/>
                <w:vertAlign w:val="baseline"/>
                <w:lang w:val="en-US" w:eastAsia="zh-CN"/>
              </w:rPr>
            </w:pPr>
            <w:r>
              <w:rPr>
                <w:rFonts w:hint="eastAsia" w:ascii="国标楷体" w:hAnsi="国标楷体" w:eastAsia="国标楷体" w:cs="国标楷体"/>
                <w:b w:val="0"/>
                <w:bCs w:val="0"/>
                <w:sz w:val="24"/>
                <w:szCs w:val="24"/>
                <w:vertAlign w:val="baseline"/>
                <w:lang w:val="en-US" w:eastAsia="zh-CN"/>
              </w:rPr>
              <w:t>指标</w:t>
            </w:r>
          </w:p>
        </w:tc>
        <w:tc>
          <w:tcPr>
            <w:tcW w:w="1637" w:type="dxa"/>
            <w:vAlign w:val="center"/>
          </w:tcPr>
          <w:p w14:paraId="3E2F68B5">
            <w:pPr>
              <w:jc w:val="center"/>
              <w:rPr>
                <w:rFonts w:hint="eastAsia" w:ascii="国标楷体" w:hAnsi="国标楷体" w:eastAsia="国标楷体" w:cs="国标楷体"/>
                <w:b w:val="0"/>
                <w:bCs w:val="0"/>
                <w:sz w:val="24"/>
                <w:szCs w:val="24"/>
                <w:vertAlign w:val="baseline"/>
                <w:lang w:val="en-US" w:eastAsia="zh-CN"/>
              </w:rPr>
            </w:pPr>
            <w:r>
              <w:rPr>
                <w:rFonts w:hint="eastAsia" w:ascii="国标楷体" w:hAnsi="国标楷体" w:eastAsia="国标楷体" w:cs="国标楷体"/>
                <w:b w:val="0"/>
                <w:bCs w:val="0"/>
                <w:sz w:val="24"/>
                <w:szCs w:val="24"/>
                <w:vertAlign w:val="baseline"/>
                <w:lang w:val="en-US" w:eastAsia="zh-CN"/>
              </w:rPr>
              <w:t>二级指标</w:t>
            </w:r>
          </w:p>
        </w:tc>
        <w:tc>
          <w:tcPr>
            <w:tcW w:w="569" w:type="dxa"/>
            <w:vAlign w:val="center"/>
          </w:tcPr>
          <w:p w14:paraId="6A832B2B">
            <w:pPr>
              <w:jc w:val="center"/>
              <w:rPr>
                <w:rFonts w:hint="eastAsia" w:ascii="国标楷体" w:hAnsi="国标楷体" w:eastAsia="国标楷体" w:cs="国标楷体"/>
                <w:b w:val="0"/>
                <w:bCs w:val="0"/>
                <w:sz w:val="24"/>
                <w:szCs w:val="24"/>
                <w:vertAlign w:val="baseline"/>
                <w:lang w:val="en-US" w:eastAsia="zh-CN"/>
              </w:rPr>
            </w:pPr>
            <w:r>
              <w:rPr>
                <w:rFonts w:hint="eastAsia" w:ascii="国标楷体" w:hAnsi="国标楷体" w:eastAsia="国标楷体" w:cs="国标楷体"/>
                <w:b w:val="0"/>
                <w:bCs w:val="0"/>
                <w:sz w:val="24"/>
                <w:szCs w:val="24"/>
                <w:vertAlign w:val="baseline"/>
                <w:lang w:val="en-US" w:eastAsia="zh-CN"/>
              </w:rPr>
              <w:t>分值</w:t>
            </w:r>
          </w:p>
        </w:tc>
        <w:tc>
          <w:tcPr>
            <w:tcW w:w="7185" w:type="dxa"/>
            <w:vAlign w:val="center"/>
          </w:tcPr>
          <w:p w14:paraId="089B9F72">
            <w:pPr>
              <w:jc w:val="center"/>
              <w:rPr>
                <w:rFonts w:hint="eastAsia" w:ascii="国标楷体" w:hAnsi="国标楷体" w:eastAsia="国标楷体" w:cs="国标楷体"/>
                <w:b w:val="0"/>
                <w:bCs w:val="0"/>
                <w:sz w:val="24"/>
                <w:szCs w:val="24"/>
                <w:vertAlign w:val="baseline"/>
                <w:lang w:val="en-US" w:eastAsia="zh-CN"/>
              </w:rPr>
            </w:pPr>
            <w:r>
              <w:rPr>
                <w:rFonts w:hint="eastAsia" w:ascii="国标楷体" w:hAnsi="国标楷体" w:eastAsia="国标楷体" w:cs="国标楷体"/>
                <w:b w:val="0"/>
                <w:bCs w:val="0"/>
                <w:sz w:val="24"/>
                <w:szCs w:val="24"/>
                <w:vertAlign w:val="baseline"/>
                <w:lang w:val="en-US" w:eastAsia="zh-CN"/>
              </w:rPr>
              <w:t>评价内容</w:t>
            </w:r>
          </w:p>
        </w:tc>
        <w:tc>
          <w:tcPr>
            <w:tcW w:w="734" w:type="dxa"/>
            <w:vAlign w:val="center"/>
          </w:tcPr>
          <w:p w14:paraId="2B5CB30E">
            <w:pPr>
              <w:jc w:val="center"/>
              <w:rPr>
                <w:rFonts w:hint="eastAsia" w:ascii="国标楷体" w:hAnsi="国标楷体" w:eastAsia="国标楷体" w:cs="国标楷体"/>
                <w:b w:val="0"/>
                <w:bCs w:val="0"/>
                <w:sz w:val="24"/>
                <w:szCs w:val="24"/>
                <w:vertAlign w:val="baseline"/>
                <w:lang w:val="en-US" w:eastAsia="zh-CN"/>
              </w:rPr>
            </w:pPr>
            <w:r>
              <w:rPr>
                <w:rFonts w:hint="eastAsia" w:ascii="国标楷体" w:hAnsi="国标楷体" w:eastAsia="国标楷体" w:cs="国标楷体"/>
                <w:b w:val="0"/>
                <w:bCs w:val="0"/>
                <w:sz w:val="24"/>
                <w:szCs w:val="24"/>
                <w:vertAlign w:val="baseline"/>
                <w:lang w:val="en-US" w:eastAsia="zh-CN"/>
              </w:rPr>
              <w:t>得分</w:t>
            </w:r>
          </w:p>
        </w:tc>
      </w:tr>
      <w:tr w14:paraId="7F3E6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75" w:type="dxa"/>
            <w:vMerge w:val="restart"/>
            <w:vAlign w:val="center"/>
          </w:tcPr>
          <w:p w14:paraId="715AB23E">
            <w:pPr>
              <w:jc w:val="center"/>
              <w:rPr>
                <w:rFonts w:hint="eastAsia" w:ascii="国标楷体" w:hAnsi="国标楷体" w:eastAsia="国标楷体" w:cs="国标楷体"/>
                <w:sz w:val="24"/>
                <w:szCs w:val="24"/>
                <w:vertAlign w:val="baseline"/>
                <w:lang w:eastAsia="zh-CN"/>
              </w:rPr>
            </w:pPr>
            <w:r>
              <w:rPr>
                <w:rFonts w:hint="eastAsia" w:ascii="国标楷体" w:hAnsi="国标楷体" w:eastAsia="国标楷体" w:cs="国标楷体"/>
                <w:sz w:val="24"/>
                <w:szCs w:val="24"/>
                <w:vertAlign w:val="baseline"/>
              </w:rPr>
              <w:t>1.企业基本情况</w:t>
            </w:r>
            <w:r>
              <w:rPr>
                <w:rFonts w:hint="eastAsia" w:ascii="国标楷体" w:hAnsi="国标楷体" w:eastAsia="国标楷体" w:cs="国标楷体"/>
                <w:sz w:val="24"/>
                <w:szCs w:val="24"/>
                <w:vertAlign w:val="baseline"/>
                <w:lang w:eastAsia="zh-CN"/>
              </w:rPr>
              <w:t>（</w:t>
            </w:r>
            <w:r>
              <w:rPr>
                <w:rFonts w:hint="eastAsia" w:ascii="国标楷体" w:hAnsi="国标楷体" w:eastAsia="国标楷体" w:cs="国标楷体"/>
                <w:sz w:val="24"/>
                <w:szCs w:val="24"/>
                <w:vertAlign w:val="baseline"/>
                <w:lang w:val="en-US" w:eastAsia="zh-CN"/>
              </w:rPr>
              <w:t>20%</w:t>
            </w:r>
            <w:r>
              <w:rPr>
                <w:rFonts w:hint="eastAsia" w:ascii="国标楷体" w:hAnsi="国标楷体" w:eastAsia="国标楷体" w:cs="国标楷体"/>
                <w:sz w:val="24"/>
                <w:szCs w:val="24"/>
                <w:vertAlign w:val="baseline"/>
                <w:lang w:eastAsia="zh-CN"/>
              </w:rPr>
              <w:t>）</w:t>
            </w:r>
          </w:p>
        </w:tc>
        <w:tc>
          <w:tcPr>
            <w:tcW w:w="1637" w:type="dxa"/>
            <w:vAlign w:val="center"/>
          </w:tcPr>
          <w:p w14:paraId="3479A93E">
            <w:pPr>
              <w:jc w:val="left"/>
              <w:rPr>
                <w:rFonts w:hint="eastAsia" w:ascii="国标仿宋-GB/T 2312" w:hAnsi="国标仿宋-GB/T 2312" w:eastAsia="国标仿宋-GB/T 2312" w:cs="国标仿宋-GB/T 2312"/>
                <w:sz w:val="24"/>
                <w:szCs w:val="24"/>
                <w:vertAlign w:val="baseline"/>
              </w:rPr>
            </w:pPr>
            <w:r>
              <w:rPr>
                <w:rFonts w:hint="eastAsia" w:ascii="国标仿宋-GB/T 2312" w:hAnsi="国标仿宋-GB/T 2312" w:eastAsia="国标仿宋-GB/T 2312" w:cs="国标仿宋-GB/T 2312"/>
                <w:sz w:val="24"/>
                <w:szCs w:val="24"/>
                <w:vertAlign w:val="baseline"/>
              </w:rPr>
              <w:t>1.1 开评审业务保障条件</w:t>
            </w:r>
          </w:p>
        </w:tc>
        <w:tc>
          <w:tcPr>
            <w:tcW w:w="569" w:type="dxa"/>
            <w:vAlign w:val="center"/>
          </w:tcPr>
          <w:p w14:paraId="107DDBD4">
            <w:pPr>
              <w:jc w:val="center"/>
              <w:rPr>
                <w:rFonts w:hint="eastAsia" w:ascii="国标仿宋-GB/T 2312" w:hAnsi="国标仿宋-GB/T 2312" w:eastAsia="国标仿宋-GB/T 2312" w:cs="国标仿宋-GB/T 2312"/>
                <w:sz w:val="24"/>
                <w:szCs w:val="24"/>
                <w:vertAlign w:val="baseline"/>
                <w:lang w:val="en-US" w:eastAsia="zh-CN"/>
              </w:rPr>
            </w:pPr>
            <w:r>
              <w:rPr>
                <w:rFonts w:hint="eastAsia" w:ascii="国标仿宋-GB/T 2312" w:hAnsi="国标仿宋-GB/T 2312" w:eastAsia="国标仿宋-GB/T 2312" w:cs="国标仿宋-GB/T 2312"/>
                <w:sz w:val="24"/>
                <w:szCs w:val="24"/>
                <w:vertAlign w:val="baseline"/>
                <w:lang w:val="en-US" w:eastAsia="zh-CN"/>
              </w:rPr>
              <w:t>7</w:t>
            </w:r>
          </w:p>
        </w:tc>
        <w:tc>
          <w:tcPr>
            <w:tcW w:w="7185" w:type="dxa"/>
            <w:vAlign w:val="center"/>
          </w:tcPr>
          <w:p w14:paraId="5136AC43">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国标仿宋-GB/T 2312" w:hAnsi="国标仿宋-GB/T 2312" w:eastAsia="国标仿宋-GB/T 2312" w:cs="国标仿宋-GB/T 2312"/>
                <w:sz w:val="24"/>
                <w:szCs w:val="24"/>
                <w:vertAlign w:val="baseline"/>
                <w:lang w:val="en-US"/>
              </w:rPr>
            </w:pPr>
            <w:r>
              <w:rPr>
                <w:rFonts w:hint="eastAsia" w:ascii="国标仿宋-GB/T 2312" w:hAnsi="国标仿宋-GB/T 2312" w:eastAsia="国标仿宋-GB/T 2312" w:cs="国标仿宋-GB/T 2312"/>
                <w:sz w:val="24"/>
                <w:szCs w:val="24"/>
                <w:vertAlign w:val="baseline"/>
                <w:lang w:val="en-US" w:eastAsia="zh-CN"/>
              </w:rPr>
              <w:t>能够为本项目提供符合政府采购规范要求的开评审场地及录音录像监控设施（自有场地或租赁公共资源交易中心场地均可，提供场地证明或书面承诺）：①提供有效证明 / 承诺，完全满足开评审场地、音视频监控全部要求，得 7 分；②仅提供书面承诺，佐证材料不全，得 3 分；③未提供，不得分。</w:t>
            </w:r>
          </w:p>
        </w:tc>
        <w:tc>
          <w:tcPr>
            <w:tcW w:w="734" w:type="dxa"/>
            <w:vAlign w:val="center"/>
          </w:tcPr>
          <w:p w14:paraId="7054D753">
            <w:pPr>
              <w:jc w:val="center"/>
              <w:rPr>
                <w:rFonts w:hint="eastAsia" w:ascii="国标仿宋-GB/T 2312" w:hAnsi="国标仿宋-GB/T 2312" w:eastAsia="国标仿宋-GB/T 2312" w:cs="国标仿宋-GB/T 2312"/>
                <w:sz w:val="24"/>
                <w:szCs w:val="24"/>
                <w:vertAlign w:val="baseline"/>
                <w:lang w:val="en-US" w:eastAsia="zh-CN"/>
              </w:rPr>
            </w:pPr>
          </w:p>
        </w:tc>
      </w:tr>
      <w:tr w14:paraId="6A5C4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75" w:type="dxa"/>
            <w:vMerge w:val="continue"/>
            <w:vAlign w:val="center"/>
          </w:tcPr>
          <w:p w14:paraId="3D4185B1">
            <w:pPr>
              <w:jc w:val="center"/>
              <w:rPr>
                <w:rFonts w:hint="eastAsia" w:ascii="国标楷体" w:hAnsi="国标楷体" w:eastAsia="国标楷体" w:cs="国标楷体"/>
                <w:sz w:val="24"/>
                <w:szCs w:val="24"/>
                <w:vertAlign w:val="baseline"/>
              </w:rPr>
            </w:pPr>
          </w:p>
        </w:tc>
        <w:tc>
          <w:tcPr>
            <w:tcW w:w="1637" w:type="dxa"/>
            <w:vAlign w:val="center"/>
          </w:tcPr>
          <w:p w14:paraId="56230502">
            <w:pPr>
              <w:jc w:val="left"/>
              <w:rPr>
                <w:rFonts w:hint="default" w:ascii="国标仿宋-GB/T 2312" w:hAnsi="国标仿宋-GB/T 2312" w:eastAsia="国标仿宋-GB/T 2312" w:cs="国标仿宋-GB/T 2312"/>
                <w:sz w:val="24"/>
                <w:szCs w:val="24"/>
                <w:vertAlign w:val="baseline"/>
                <w:lang w:val="en-US" w:eastAsia="zh-CN"/>
              </w:rPr>
            </w:pPr>
            <w:r>
              <w:rPr>
                <w:rFonts w:hint="eastAsia" w:ascii="国标仿宋-GB/T 2312" w:hAnsi="国标仿宋-GB/T 2312" w:eastAsia="国标仿宋-GB/T 2312" w:cs="国标仿宋-GB/T 2312"/>
                <w:sz w:val="24"/>
                <w:szCs w:val="24"/>
                <w:vertAlign w:val="baseline"/>
                <w:lang w:val="en-US" w:eastAsia="zh-CN"/>
              </w:rPr>
              <w:t>1.2 财务与履约基础保障</w:t>
            </w:r>
          </w:p>
        </w:tc>
        <w:tc>
          <w:tcPr>
            <w:tcW w:w="569" w:type="dxa"/>
            <w:vAlign w:val="center"/>
          </w:tcPr>
          <w:p w14:paraId="14786F9A">
            <w:pPr>
              <w:jc w:val="center"/>
              <w:rPr>
                <w:rFonts w:hint="eastAsia" w:ascii="国标仿宋-GB/T 2312" w:hAnsi="国标仿宋-GB/T 2312" w:eastAsia="国标仿宋-GB/T 2312" w:cs="国标仿宋-GB/T 2312"/>
                <w:sz w:val="24"/>
                <w:szCs w:val="24"/>
                <w:vertAlign w:val="baseline"/>
                <w:lang w:val="en-US" w:eastAsia="zh-CN"/>
              </w:rPr>
            </w:pPr>
            <w:r>
              <w:rPr>
                <w:rFonts w:hint="eastAsia" w:ascii="国标仿宋-GB/T 2312" w:hAnsi="国标仿宋-GB/T 2312" w:eastAsia="国标仿宋-GB/T 2312" w:cs="国标仿宋-GB/T 2312"/>
                <w:sz w:val="24"/>
                <w:szCs w:val="24"/>
                <w:vertAlign w:val="baseline"/>
                <w:lang w:val="en-US" w:eastAsia="zh-CN"/>
              </w:rPr>
              <w:t>6</w:t>
            </w:r>
          </w:p>
        </w:tc>
        <w:tc>
          <w:tcPr>
            <w:tcW w:w="7185" w:type="dxa"/>
            <w:vAlign w:val="center"/>
          </w:tcPr>
          <w:p w14:paraId="3F0DD1C7">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国标仿宋-GB/T 2312" w:hAnsi="国标仿宋-GB/T 2312" w:eastAsia="国标仿宋-GB/T 2312" w:cs="国标仿宋-GB/T 2312"/>
                <w:sz w:val="24"/>
                <w:szCs w:val="24"/>
                <w:vertAlign w:val="baseline"/>
                <w:lang w:val="en-US" w:eastAsia="zh-CN"/>
              </w:rPr>
            </w:pPr>
            <w:r>
              <w:rPr>
                <w:rFonts w:hint="eastAsia" w:ascii="国标仿宋-GB/T 2312" w:hAnsi="国标仿宋-GB/T 2312" w:eastAsia="国标仿宋-GB/T 2312" w:cs="国标仿宋-GB/T 2312"/>
                <w:sz w:val="24"/>
                <w:szCs w:val="24"/>
                <w:vertAlign w:val="baseline"/>
                <w:lang w:val="en-US" w:eastAsia="zh-CN"/>
              </w:rPr>
              <w:t>提供近 6 个月依法缴纳税收、社会保障资金证明材料：①同时提供纳税、社保缴纳有效证明，得 6 分；②仅提供其中一项证明材料，得 3 分；③均未提供，不得分。</w:t>
            </w:r>
          </w:p>
        </w:tc>
        <w:tc>
          <w:tcPr>
            <w:tcW w:w="734" w:type="dxa"/>
            <w:vAlign w:val="center"/>
          </w:tcPr>
          <w:p w14:paraId="685EE8D2">
            <w:pPr>
              <w:jc w:val="center"/>
              <w:rPr>
                <w:rFonts w:hint="eastAsia" w:ascii="国标仿宋-GB/T 2312" w:hAnsi="国标仿宋-GB/T 2312" w:eastAsia="国标仿宋-GB/T 2312" w:cs="国标仿宋-GB/T 2312"/>
                <w:sz w:val="24"/>
                <w:szCs w:val="24"/>
                <w:vertAlign w:val="baseline"/>
                <w:lang w:val="en-US" w:eastAsia="zh-CN"/>
              </w:rPr>
            </w:pPr>
          </w:p>
        </w:tc>
      </w:tr>
      <w:tr w14:paraId="03133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75" w:type="dxa"/>
            <w:vMerge w:val="continue"/>
          </w:tcPr>
          <w:p w14:paraId="623A7935">
            <w:pPr>
              <w:jc w:val="center"/>
              <w:rPr>
                <w:rFonts w:hint="eastAsia" w:ascii="国标楷体" w:hAnsi="国标楷体" w:eastAsia="国标楷体" w:cs="国标楷体"/>
                <w:sz w:val="24"/>
                <w:szCs w:val="24"/>
                <w:vertAlign w:val="baseline"/>
              </w:rPr>
            </w:pPr>
          </w:p>
        </w:tc>
        <w:tc>
          <w:tcPr>
            <w:tcW w:w="1637" w:type="dxa"/>
            <w:vAlign w:val="center"/>
          </w:tcPr>
          <w:p w14:paraId="1798B994">
            <w:pPr>
              <w:jc w:val="left"/>
              <w:rPr>
                <w:rFonts w:hint="eastAsia" w:ascii="国标仿宋-GB/T 2312" w:hAnsi="国标仿宋-GB/T 2312" w:eastAsia="国标仿宋-GB/T 2312" w:cs="国标仿宋-GB/T 2312"/>
                <w:sz w:val="24"/>
                <w:szCs w:val="24"/>
                <w:vertAlign w:val="baseline"/>
              </w:rPr>
            </w:pPr>
            <w:r>
              <w:rPr>
                <w:rFonts w:hint="eastAsia" w:ascii="国标仿宋-GB/T 2312" w:hAnsi="国标仿宋-GB/T 2312" w:eastAsia="国标仿宋-GB/T 2312" w:cs="国标仿宋-GB/T 2312"/>
                <w:sz w:val="24"/>
                <w:szCs w:val="24"/>
                <w:vertAlign w:val="baseline"/>
              </w:rPr>
              <w:t>1.3 政府采购平台操作能力</w:t>
            </w:r>
          </w:p>
        </w:tc>
        <w:tc>
          <w:tcPr>
            <w:tcW w:w="569" w:type="dxa"/>
            <w:vAlign w:val="center"/>
          </w:tcPr>
          <w:p w14:paraId="50BB3C7D">
            <w:pPr>
              <w:jc w:val="center"/>
              <w:rPr>
                <w:rFonts w:hint="eastAsia" w:ascii="国标仿宋-GB/T 2312" w:hAnsi="国标仿宋-GB/T 2312" w:eastAsia="国标仿宋-GB/T 2312" w:cs="国标仿宋-GB/T 2312"/>
                <w:sz w:val="24"/>
                <w:szCs w:val="24"/>
                <w:vertAlign w:val="baseline"/>
                <w:lang w:val="en-US" w:eastAsia="zh-CN"/>
              </w:rPr>
            </w:pPr>
            <w:r>
              <w:rPr>
                <w:rFonts w:hint="eastAsia" w:ascii="国标仿宋-GB/T 2312" w:hAnsi="国标仿宋-GB/T 2312" w:eastAsia="国标仿宋-GB/T 2312" w:cs="国标仿宋-GB/T 2312"/>
                <w:sz w:val="24"/>
                <w:szCs w:val="24"/>
                <w:vertAlign w:val="baseline"/>
                <w:lang w:val="en-US" w:eastAsia="zh-CN"/>
              </w:rPr>
              <w:t>7</w:t>
            </w:r>
          </w:p>
        </w:tc>
        <w:tc>
          <w:tcPr>
            <w:tcW w:w="7185" w:type="dxa"/>
            <w:vAlign w:val="center"/>
          </w:tcPr>
          <w:p w14:paraId="5BF41CF9">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国标仿宋-GB/T 2312" w:hAnsi="国标仿宋-GB/T 2312" w:eastAsia="国标仿宋-GB/T 2312" w:cs="国标仿宋-GB/T 2312"/>
                <w:sz w:val="24"/>
                <w:szCs w:val="24"/>
                <w:vertAlign w:val="baseline"/>
                <w:lang w:val="en-US" w:eastAsia="zh-CN"/>
              </w:rPr>
            </w:pPr>
            <w:r>
              <w:rPr>
                <w:rFonts w:hint="eastAsia" w:ascii="国标仿宋-GB/T 2312" w:hAnsi="国标仿宋-GB/T 2312" w:eastAsia="国标仿宋-GB/T 2312" w:cs="国标仿宋-GB/T 2312"/>
                <w:sz w:val="24"/>
                <w:szCs w:val="24"/>
                <w:vertAlign w:val="baseline"/>
                <w:lang w:val="en-US" w:eastAsia="zh-CN"/>
              </w:rPr>
              <w:t>具备代理政府采购业务所需办公软硬件，熟练掌握广东政府采购智慧云平台全流程业务操作，提供工作说明：①说明完整，对云平台业务操作响应全面到位，得 7 分；②说明简单，部分响应，得 3 分；③未提供，不得分。</w:t>
            </w:r>
          </w:p>
        </w:tc>
        <w:tc>
          <w:tcPr>
            <w:tcW w:w="734" w:type="dxa"/>
            <w:vAlign w:val="center"/>
          </w:tcPr>
          <w:p w14:paraId="76798FF4">
            <w:pPr>
              <w:jc w:val="center"/>
              <w:rPr>
                <w:rFonts w:hint="eastAsia" w:ascii="国标仿宋-GB/T 2312" w:hAnsi="国标仿宋-GB/T 2312" w:eastAsia="国标仿宋-GB/T 2312" w:cs="国标仿宋-GB/T 2312"/>
                <w:sz w:val="24"/>
                <w:szCs w:val="24"/>
                <w:vertAlign w:val="baseline"/>
                <w:lang w:val="en-US" w:eastAsia="zh-CN"/>
              </w:rPr>
            </w:pPr>
          </w:p>
        </w:tc>
      </w:tr>
      <w:tr w14:paraId="65C9C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0566" w:type="dxa"/>
            <w:gridSpan w:val="4"/>
            <w:vAlign w:val="center"/>
          </w:tcPr>
          <w:p w14:paraId="3E7D9552">
            <w:pPr>
              <w:jc w:val="center"/>
              <w:rPr>
                <w:rFonts w:hint="eastAsia" w:ascii="国标楷体" w:hAnsi="国标楷体" w:eastAsia="国标楷体" w:cs="国标楷体"/>
                <w:sz w:val="24"/>
                <w:szCs w:val="24"/>
                <w:vertAlign w:val="baseline"/>
                <w:lang w:val="en-US" w:eastAsia="zh-CN"/>
              </w:rPr>
            </w:pPr>
            <w:r>
              <w:rPr>
                <w:rFonts w:hint="eastAsia" w:ascii="国标楷体" w:hAnsi="国标楷体" w:eastAsia="国标楷体" w:cs="国标楷体"/>
                <w:sz w:val="24"/>
                <w:szCs w:val="24"/>
                <w:vertAlign w:val="baseline"/>
                <w:lang w:val="en-US" w:eastAsia="zh-CN"/>
              </w:rPr>
              <w:t>企业基本情况得分为：</w:t>
            </w:r>
          </w:p>
        </w:tc>
        <w:tc>
          <w:tcPr>
            <w:tcW w:w="734" w:type="dxa"/>
            <w:vAlign w:val="center"/>
          </w:tcPr>
          <w:p w14:paraId="25887B35">
            <w:pPr>
              <w:jc w:val="center"/>
              <w:rPr>
                <w:rFonts w:hint="eastAsia" w:ascii="国标仿宋-GB/T 2312" w:hAnsi="国标仿宋-GB/T 2312" w:eastAsia="国标仿宋-GB/T 2312" w:cs="国标仿宋-GB/T 2312"/>
                <w:sz w:val="24"/>
                <w:szCs w:val="24"/>
                <w:vertAlign w:val="baseline"/>
                <w:lang w:val="en-US" w:eastAsia="zh-CN"/>
              </w:rPr>
            </w:pPr>
          </w:p>
        </w:tc>
      </w:tr>
      <w:tr w14:paraId="66FAC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75" w:type="dxa"/>
            <w:vMerge w:val="restart"/>
            <w:vAlign w:val="center"/>
          </w:tcPr>
          <w:p w14:paraId="35A458AF">
            <w:pPr>
              <w:jc w:val="center"/>
              <w:rPr>
                <w:rFonts w:hint="eastAsia" w:ascii="国标楷体" w:hAnsi="国标楷体" w:eastAsia="国标楷体" w:cs="国标楷体"/>
                <w:sz w:val="24"/>
                <w:szCs w:val="24"/>
                <w:vertAlign w:val="baseline"/>
                <w:lang w:val="en-US" w:eastAsia="zh-CN"/>
              </w:rPr>
            </w:pPr>
            <w:r>
              <w:rPr>
                <w:rFonts w:hint="eastAsia" w:ascii="国标楷体" w:hAnsi="国标楷体" w:eastAsia="国标楷体" w:cs="国标楷体"/>
                <w:sz w:val="24"/>
                <w:szCs w:val="24"/>
                <w:vertAlign w:val="baseline"/>
                <w:lang w:val="en-US" w:eastAsia="zh-CN"/>
              </w:rPr>
              <w:t>2.企业业绩与综合实力情况（30%）</w:t>
            </w:r>
          </w:p>
        </w:tc>
        <w:tc>
          <w:tcPr>
            <w:tcW w:w="1637" w:type="dxa"/>
            <w:vAlign w:val="center"/>
          </w:tcPr>
          <w:p w14:paraId="7055A0D8">
            <w:pPr>
              <w:jc w:val="left"/>
              <w:rPr>
                <w:rFonts w:hint="eastAsia" w:ascii="国标仿宋-GB/T 2312" w:hAnsi="国标仿宋-GB/T 2312" w:eastAsia="国标仿宋-GB/T 2312" w:cs="国标仿宋-GB/T 2312"/>
                <w:sz w:val="24"/>
                <w:szCs w:val="24"/>
                <w:vertAlign w:val="baseline"/>
                <w:lang w:val="en-US" w:eastAsia="zh-CN"/>
              </w:rPr>
            </w:pPr>
            <w:r>
              <w:rPr>
                <w:rFonts w:hint="eastAsia" w:ascii="国标仿宋-GB/T 2312" w:hAnsi="国标仿宋-GB/T 2312" w:eastAsia="国标仿宋-GB/T 2312" w:cs="国标仿宋-GB/T 2312"/>
                <w:sz w:val="24"/>
                <w:szCs w:val="24"/>
                <w:vertAlign w:val="baseline"/>
                <w:lang w:val="en-US" w:eastAsia="zh-CN"/>
              </w:rPr>
              <w:t>2.1 货物类政府采购代理业绩</w:t>
            </w:r>
          </w:p>
        </w:tc>
        <w:tc>
          <w:tcPr>
            <w:tcW w:w="569" w:type="dxa"/>
            <w:vAlign w:val="center"/>
          </w:tcPr>
          <w:p w14:paraId="799D01E1">
            <w:pPr>
              <w:jc w:val="center"/>
              <w:rPr>
                <w:rFonts w:hint="default" w:ascii="国标仿宋-GB/T 2312" w:hAnsi="国标仿宋-GB/T 2312" w:eastAsia="国标仿宋-GB/T 2312" w:cs="国标仿宋-GB/T 2312"/>
                <w:sz w:val="24"/>
                <w:szCs w:val="24"/>
                <w:vertAlign w:val="baseline"/>
                <w:lang w:val="en-US" w:eastAsia="zh-CN"/>
              </w:rPr>
            </w:pPr>
            <w:r>
              <w:rPr>
                <w:rFonts w:hint="eastAsia" w:ascii="国标仿宋-GB/T 2312" w:hAnsi="国标仿宋-GB/T 2312" w:eastAsia="国标仿宋-GB/T 2312" w:cs="国标仿宋-GB/T 2312"/>
                <w:sz w:val="24"/>
                <w:szCs w:val="24"/>
                <w:vertAlign w:val="baseline"/>
                <w:lang w:val="en-US" w:eastAsia="zh-CN"/>
              </w:rPr>
              <w:t>18</w:t>
            </w:r>
          </w:p>
        </w:tc>
        <w:tc>
          <w:tcPr>
            <w:tcW w:w="7185" w:type="dxa"/>
            <w:vAlign w:val="center"/>
          </w:tcPr>
          <w:p w14:paraId="2A8A46F0">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国标仿宋-GB/T 2312" w:hAnsi="国标仿宋-GB/T 2312" w:eastAsia="国标仿宋-GB/T 2312" w:cs="国标仿宋-GB/T 2312"/>
                <w:sz w:val="24"/>
                <w:szCs w:val="24"/>
                <w:vertAlign w:val="baseline"/>
                <w:lang w:val="en-US" w:eastAsia="zh-CN"/>
              </w:rPr>
            </w:pPr>
            <w:r>
              <w:rPr>
                <w:rFonts w:hint="eastAsia" w:ascii="国标仿宋-GB/T 2312" w:hAnsi="国标仿宋-GB/T 2312" w:eastAsia="国标仿宋-GB/T 2312" w:cs="国标仿宋-GB/T 2312"/>
                <w:sz w:val="24"/>
                <w:szCs w:val="24"/>
                <w:vertAlign w:val="baseline"/>
                <w:lang w:val="en-US" w:eastAsia="zh-CN"/>
              </w:rPr>
              <w:t>提供近 36 个月货物类政府采购代理项目业绩，提供委托合同关键页或采购公告截图并加盖公章，同一项目不重复计分：①10 个（含）以上，得 18 分；②8‑9 个，得 15 分；③6‑7 个，得 12 分；④3‑5 个，得 9 分；⑤不足 3 个，不得分。</w:t>
            </w:r>
          </w:p>
        </w:tc>
        <w:tc>
          <w:tcPr>
            <w:tcW w:w="734" w:type="dxa"/>
            <w:vAlign w:val="center"/>
          </w:tcPr>
          <w:p w14:paraId="75E99F8E">
            <w:pPr>
              <w:jc w:val="center"/>
              <w:rPr>
                <w:rFonts w:hint="eastAsia" w:ascii="国标仿宋-GB/T 2312" w:hAnsi="国标仿宋-GB/T 2312" w:eastAsia="国标仿宋-GB/T 2312" w:cs="国标仿宋-GB/T 2312"/>
                <w:sz w:val="24"/>
                <w:szCs w:val="24"/>
                <w:vertAlign w:val="baseline"/>
                <w:lang w:val="en-US" w:eastAsia="zh-CN"/>
              </w:rPr>
            </w:pPr>
          </w:p>
        </w:tc>
      </w:tr>
      <w:tr w14:paraId="4B1D8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75" w:type="dxa"/>
            <w:vMerge w:val="continue"/>
            <w:vAlign w:val="center"/>
          </w:tcPr>
          <w:p w14:paraId="0D0A60B3">
            <w:pPr>
              <w:jc w:val="center"/>
              <w:rPr>
                <w:rFonts w:hint="eastAsia" w:ascii="国标楷体" w:hAnsi="国标楷体" w:eastAsia="国标楷体" w:cs="国标楷体"/>
                <w:sz w:val="24"/>
                <w:szCs w:val="24"/>
                <w:vertAlign w:val="baseline"/>
                <w:lang w:val="en-US" w:eastAsia="zh-CN"/>
              </w:rPr>
            </w:pPr>
          </w:p>
        </w:tc>
        <w:tc>
          <w:tcPr>
            <w:tcW w:w="1637" w:type="dxa"/>
            <w:vAlign w:val="center"/>
          </w:tcPr>
          <w:p w14:paraId="46F72207">
            <w:pPr>
              <w:jc w:val="left"/>
              <w:rPr>
                <w:rFonts w:hint="default" w:ascii="国标仿宋-GB/T 2312" w:hAnsi="国标仿宋-GB/T 2312" w:eastAsia="国标仿宋-GB/T 2312" w:cs="国标仿宋-GB/T 2312"/>
                <w:sz w:val="24"/>
                <w:szCs w:val="24"/>
                <w:vertAlign w:val="baseline"/>
                <w:lang w:val="en-US" w:eastAsia="zh-CN"/>
              </w:rPr>
            </w:pPr>
            <w:r>
              <w:rPr>
                <w:rFonts w:hint="eastAsia" w:ascii="国标仿宋-GB/T 2312" w:hAnsi="国标仿宋-GB/T 2312" w:eastAsia="国标仿宋-GB/T 2312" w:cs="国标仿宋-GB/T 2312"/>
                <w:sz w:val="24"/>
                <w:szCs w:val="24"/>
                <w:vertAlign w:val="baseline"/>
                <w:lang w:val="en-US" w:eastAsia="zh-CN"/>
              </w:rPr>
              <w:t>2.2 拟派本项目团队配置</w:t>
            </w:r>
          </w:p>
        </w:tc>
        <w:tc>
          <w:tcPr>
            <w:tcW w:w="569" w:type="dxa"/>
            <w:vAlign w:val="center"/>
          </w:tcPr>
          <w:p w14:paraId="7695D9AF">
            <w:pPr>
              <w:jc w:val="center"/>
              <w:rPr>
                <w:rFonts w:hint="default" w:ascii="国标仿宋-GB/T 2312" w:hAnsi="国标仿宋-GB/T 2312" w:eastAsia="国标仿宋-GB/T 2312" w:cs="国标仿宋-GB/T 2312"/>
                <w:sz w:val="24"/>
                <w:szCs w:val="24"/>
                <w:vertAlign w:val="baseline"/>
                <w:lang w:val="en-US" w:eastAsia="zh-CN"/>
              </w:rPr>
            </w:pPr>
            <w:r>
              <w:rPr>
                <w:rFonts w:hint="eastAsia" w:ascii="国标仿宋-GB/T 2312" w:hAnsi="国标仿宋-GB/T 2312" w:eastAsia="国标仿宋-GB/T 2312" w:cs="国标仿宋-GB/T 2312"/>
                <w:sz w:val="24"/>
                <w:szCs w:val="24"/>
                <w:vertAlign w:val="baseline"/>
                <w:lang w:val="en-US" w:eastAsia="zh-CN"/>
              </w:rPr>
              <w:t>7</w:t>
            </w:r>
          </w:p>
        </w:tc>
        <w:tc>
          <w:tcPr>
            <w:tcW w:w="7185" w:type="dxa"/>
            <w:vAlign w:val="center"/>
          </w:tcPr>
          <w:p w14:paraId="189E02D0">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rPr>
                <w:rFonts w:hint="eastAsia" w:ascii="国标仿宋-GB/T 2312" w:hAnsi="国标仿宋-GB/T 2312" w:eastAsia="国标仿宋-GB/T 2312" w:cs="国标仿宋-GB/T 2312"/>
                <w:sz w:val="24"/>
                <w:szCs w:val="24"/>
                <w:vertAlign w:val="baseline"/>
                <w:lang w:val="en-US" w:eastAsia="zh-CN"/>
              </w:rPr>
            </w:pPr>
            <w:r>
              <w:rPr>
                <w:rFonts w:hint="eastAsia" w:ascii="国标仿宋-GB/T 2312" w:hAnsi="国标仿宋-GB/T 2312" w:eastAsia="国标仿宋-GB/T 2312" w:cs="国标仿宋-GB/T 2312"/>
                <w:sz w:val="24"/>
                <w:szCs w:val="24"/>
                <w:vertAlign w:val="baseline"/>
                <w:lang w:val="en-US" w:eastAsia="zh-CN"/>
              </w:rPr>
              <w:t>本项目拟投入项目团队人员须为响应单位在职员工（提供近 3 个月社保缴纳证明）：①拟派从业人员具备采购、经济、工程等相关专业中级及以上职称，得 4 分（提供职称证书）；②拟派项目负责人具备政府采购代理项目负责人从业经验，提供近 36 个月政府采购代理项目负责人相关佐证材料（合同关键页或采购公告截图并加盖公章），得 3 分；不满足对应条件不得分。</w:t>
            </w:r>
          </w:p>
        </w:tc>
        <w:tc>
          <w:tcPr>
            <w:tcW w:w="734" w:type="dxa"/>
            <w:vAlign w:val="center"/>
          </w:tcPr>
          <w:p w14:paraId="5ECB24D6">
            <w:pPr>
              <w:jc w:val="center"/>
              <w:rPr>
                <w:rFonts w:hint="eastAsia" w:ascii="国标仿宋-GB/T 2312" w:hAnsi="国标仿宋-GB/T 2312" w:eastAsia="国标仿宋-GB/T 2312" w:cs="国标仿宋-GB/T 2312"/>
                <w:sz w:val="24"/>
                <w:szCs w:val="24"/>
                <w:vertAlign w:val="baseline"/>
                <w:lang w:val="en-US" w:eastAsia="zh-CN"/>
              </w:rPr>
            </w:pPr>
          </w:p>
        </w:tc>
      </w:tr>
      <w:tr w14:paraId="4F683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75" w:type="dxa"/>
            <w:vMerge w:val="continue"/>
            <w:vAlign w:val="center"/>
          </w:tcPr>
          <w:p w14:paraId="56220934">
            <w:pPr>
              <w:jc w:val="center"/>
              <w:rPr>
                <w:rFonts w:hint="eastAsia" w:ascii="国标楷体" w:hAnsi="国标楷体" w:eastAsia="国标楷体" w:cs="国标楷体"/>
                <w:sz w:val="24"/>
                <w:szCs w:val="24"/>
                <w:vertAlign w:val="baseline"/>
                <w:lang w:val="en-US" w:eastAsia="zh-CN"/>
              </w:rPr>
            </w:pPr>
          </w:p>
        </w:tc>
        <w:tc>
          <w:tcPr>
            <w:tcW w:w="1637" w:type="dxa"/>
            <w:vAlign w:val="center"/>
          </w:tcPr>
          <w:p w14:paraId="6D5A20AD">
            <w:pPr>
              <w:jc w:val="left"/>
              <w:rPr>
                <w:rFonts w:hint="default" w:ascii="国标仿宋-GB/T 2312" w:hAnsi="国标仿宋-GB/T 2312" w:eastAsia="国标仿宋-GB/T 2312" w:cs="国标仿宋-GB/T 2312"/>
                <w:sz w:val="24"/>
                <w:szCs w:val="24"/>
                <w:vertAlign w:val="baseline"/>
                <w:lang w:val="en-US" w:eastAsia="zh-CN"/>
              </w:rPr>
            </w:pPr>
            <w:r>
              <w:rPr>
                <w:rFonts w:hint="eastAsia" w:ascii="国标仿宋-GB/T 2312" w:hAnsi="国标仿宋-GB/T 2312" w:eastAsia="国标仿宋-GB/T 2312" w:cs="国标仿宋-GB/T 2312"/>
                <w:sz w:val="24"/>
                <w:szCs w:val="24"/>
                <w:vertAlign w:val="baseline"/>
                <w:lang w:val="en-US" w:eastAsia="zh-CN"/>
              </w:rPr>
              <w:t>2.3 代理服务费报价</w:t>
            </w:r>
          </w:p>
        </w:tc>
        <w:tc>
          <w:tcPr>
            <w:tcW w:w="569" w:type="dxa"/>
            <w:vAlign w:val="center"/>
          </w:tcPr>
          <w:p w14:paraId="42AE17C5">
            <w:pPr>
              <w:jc w:val="center"/>
              <w:rPr>
                <w:rFonts w:hint="default" w:ascii="国标仿宋-GB/T 2312" w:hAnsi="国标仿宋-GB/T 2312" w:eastAsia="国标仿宋-GB/T 2312" w:cs="国标仿宋-GB/T 2312"/>
                <w:sz w:val="24"/>
                <w:szCs w:val="24"/>
                <w:vertAlign w:val="baseline"/>
                <w:lang w:val="en-US" w:eastAsia="zh-CN"/>
              </w:rPr>
            </w:pPr>
            <w:r>
              <w:rPr>
                <w:rFonts w:hint="eastAsia" w:ascii="国标仿宋-GB/T 2312" w:hAnsi="国标仿宋-GB/T 2312" w:eastAsia="国标仿宋-GB/T 2312" w:cs="国标仿宋-GB/T 2312"/>
                <w:sz w:val="24"/>
                <w:szCs w:val="24"/>
                <w:vertAlign w:val="baseline"/>
                <w:lang w:val="en-US" w:eastAsia="zh-CN"/>
              </w:rPr>
              <w:t>5</w:t>
            </w:r>
          </w:p>
        </w:tc>
        <w:tc>
          <w:tcPr>
            <w:tcW w:w="7185" w:type="dxa"/>
            <w:vAlign w:val="center"/>
          </w:tcPr>
          <w:p w14:paraId="129AD356">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国标仿宋-GB/T 2312" w:hAnsi="国标仿宋-GB/T 2312" w:eastAsia="国标仿宋-GB/T 2312" w:cs="国标仿宋-GB/T 2312"/>
                <w:sz w:val="24"/>
                <w:szCs w:val="24"/>
                <w:vertAlign w:val="baseline"/>
                <w:lang w:val="en-US" w:eastAsia="zh-CN"/>
              </w:rPr>
            </w:pPr>
            <w:bookmarkStart w:id="0" w:name="_GoBack"/>
            <w:r>
              <w:rPr>
                <w:rFonts w:hint="eastAsia" w:ascii="国标仿宋-GB/T 2312" w:hAnsi="国标仿宋-GB/T 2312" w:eastAsia="国标仿宋-GB/T 2312" w:cs="国标仿宋-GB/T 2312"/>
                <w:sz w:val="24"/>
                <w:szCs w:val="24"/>
                <w:vertAlign w:val="baseline"/>
                <w:lang w:val="en-US" w:eastAsia="zh-CN"/>
              </w:rPr>
              <w:t xml:space="preserve">报价得分=(评标基准价/投标报价)×5 </w:t>
            </w:r>
            <w:bookmarkEnd w:id="0"/>
            <w:r>
              <w:rPr>
                <w:rFonts w:hint="eastAsia" w:ascii="国标仿宋-GB/T 2312" w:hAnsi="国标仿宋-GB/T 2312" w:eastAsia="国标仿宋-GB/T 2312" w:cs="国标仿宋-GB/T 2312"/>
                <w:sz w:val="24"/>
                <w:szCs w:val="24"/>
                <w:vertAlign w:val="baseline"/>
                <w:lang w:val="en-US" w:eastAsia="zh-CN"/>
              </w:rPr>
              <w:t xml:space="preserve"> (注:满足招标文件要求且投标价格最高的投标报价为评标基准价。)</w:t>
            </w:r>
          </w:p>
        </w:tc>
        <w:tc>
          <w:tcPr>
            <w:tcW w:w="734" w:type="dxa"/>
            <w:vAlign w:val="center"/>
          </w:tcPr>
          <w:p w14:paraId="4D97AC01">
            <w:pPr>
              <w:jc w:val="center"/>
              <w:rPr>
                <w:rFonts w:hint="eastAsia" w:ascii="国标仿宋-GB/T 2312" w:hAnsi="国标仿宋-GB/T 2312" w:eastAsia="国标仿宋-GB/T 2312" w:cs="国标仿宋-GB/T 2312"/>
                <w:sz w:val="24"/>
                <w:szCs w:val="24"/>
                <w:vertAlign w:val="baseline"/>
                <w:lang w:val="en-US" w:eastAsia="zh-CN"/>
              </w:rPr>
            </w:pPr>
          </w:p>
        </w:tc>
      </w:tr>
      <w:tr w14:paraId="6A13D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0566" w:type="dxa"/>
            <w:gridSpan w:val="4"/>
            <w:vAlign w:val="center"/>
          </w:tcPr>
          <w:p w14:paraId="1F3B94B1">
            <w:pPr>
              <w:jc w:val="center"/>
              <w:rPr>
                <w:rFonts w:hint="eastAsia" w:ascii="国标楷体" w:hAnsi="国标楷体" w:eastAsia="国标楷体" w:cs="国标楷体"/>
                <w:kern w:val="2"/>
                <w:sz w:val="24"/>
                <w:szCs w:val="24"/>
                <w:vertAlign w:val="baseline"/>
                <w:lang w:val="en-US" w:eastAsia="zh-CN" w:bidi="ar-SA"/>
              </w:rPr>
            </w:pPr>
            <w:r>
              <w:rPr>
                <w:rFonts w:hint="eastAsia" w:ascii="国标楷体" w:hAnsi="国标楷体" w:eastAsia="国标楷体" w:cs="国标楷体"/>
                <w:kern w:val="2"/>
                <w:sz w:val="24"/>
                <w:szCs w:val="24"/>
                <w:vertAlign w:val="baseline"/>
                <w:lang w:val="en-US" w:eastAsia="zh-CN" w:bidi="ar-SA"/>
              </w:rPr>
              <w:t>企业业绩与人员情况得分为：</w:t>
            </w:r>
          </w:p>
        </w:tc>
        <w:tc>
          <w:tcPr>
            <w:tcW w:w="734" w:type="dxa"/>
            <w:vAlign w:val="center"/>
          </w:tcPr>
          <w:p w14:paraId="1E1C8EA2">
            <w:pPr>
              <w:jc w:val="center"/>
              <w:rPr>
                <w:rFonts w:hint="eastAsia" w:ascii="国标仿宋-GB/T 2312" w:hAnsi="国标仿宋-GB/T 2312" w:eastAsia="国标仿宋-GB/T 2312" w:cs="国标仿宋-GB/T 2312"/>
                <w:sz w:val="24"/>
                <w:szCs w:val="24"/>
                <w:vertAlign w:val="baseline"/>
                <w:lang w:val="en-US" w:eastAsia="zh-CN"/>
              </w:rPr>
            </w:pPr>
          </w:p>
        </w:tc>
      </w:tr>
      <w:tr w14:paraId="590AE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75" w:type="dxa"/>
            <w:vMerge w:val="restart"/>
            <w:vAlign w:val="center"/>
          </w:tcPr>
          <w:p w14:paraId="281F47A0">
            <w:pPr>
              <w:jc w:val="center"/>
              <w:rPr>
                <w:rFonts w:hint="eastAsia" w:ascii="国标楷体" w:hAnsi="国标楷体" w:eastAsia="国标楷体" w:cs="国标楷体"/>
                <w:kern w:val="2"/>
                <w:sz w:val="24"/>
                <w:szCs w:val="24"/>
                <w:vertAlign w:val="baseline"/>
                <w:lang w:val="en-US" w:eastAsia="zh-CN" w:bidi="ar-SA"/>
              </w:rPr>
            </w:pPr>
          </w:p>
          <w:p w14:paraId="49A1222A">
            <w:pPr>
              <w:jc w:val="center"/>
              <w:rPr>
                <w:rFonts w:hint="eastAsia" w:ascii="国标楷体" w:hAnsi="国标楷体" w:eastAsia="国标楷体" w:cs="国标楷体"/>
                <w:kern w:val="2"/>
                <w:sz w:val="24"/>
                <w:szCs w:val="24"/>
                <w:vertAlign w:val="baseline"/>
                <w:lang w:val="en-US" w:eastAsia="zh-CN" w:bidi="ar-SA"/>
              </w:rPr>
            </w:pPr>
            <w:r>
              <w:rPr>
                <w:rFonts w:hint="eastAsia" w:ascii="国标楷体" w:hAnsi="国标楷体" w:eastAsia="国标楷体" w:cs="国标楷体"/>
                <w:kern w:val="2"/>
                <w:sz w:val="24"/>
                <w:szCs w:val="24"/>
                <w:vertAlign w:val="baseline"/>
                <w:lang w:val="en-US" w:eastAsia="zh-CN" w:bidi="ar-SA"/>
              </w:rPr>
              <w:t>3.企业管理情况（20%）</w:t>
            </w:r>
          </w:p>
        </w:tc>
        <w:tc>
          <w:tcPr>
            <w:tcW w:w="1637" w:type="dxa"/>
            <w:vMerge w:val="restart"/>
            <w:vAlign w:val="center"/>
          </w:tcPr>
          <w:p w14:paraId="38017FA7">
            <w:pPr>
              <w:jc w:val="left"/>
              <w:rPr>
                <w:rFonts w:hint="eastAsia" w:ascii="国标仿宋-GB/T 2312" w:hAnsi="国标仿宋-GB/T 2312" w:eastAsia="国标仿宋-GB/T 2312" w:cs="国标仿宋-GB/T 2312"/>
                <w:kern w:val="2"/>
                <w:sz w:val="24"/>
                <w:szCs w:val="24"/>
                <w:vertAlign w:val="baseline"/>
                <w:lang w:val="en-US" w:eastAsia="zh-CN" w:bidi="ar-SA"/>
              </w:rPr>
            </w:pPr>
          </w:p>
          <w:p w14:paraId="66DE9B88">
            <w:pPr>
              <w:jc w:val="left"/>
              <w:rPr>
                <w:rFonts w:hint="eastAsia" w:ascii="国标仿宋-GB/T 2312" w:hAnsi="国标仿宋-GB/T 2312" w:eastAsia="国标仿宋-GB/T 2312" w:cs="国标仿宋-GB/T 2312"/>
                <w:kern w:val="2"/>
                <w:sz w:val="24"/>
                <w:szCs w:val="24"/>
                <w:vertAlign w:val="baseline"/>
                <w:lang w:val="en-US" w:eastAsia="zh-CN" w:bidi="ar-SA"/>
              </w:rPr>
            </w:pPr>
            <w:r>
              <w:rPr>
                <w:rFonts w:hint="eastAsia" w:ascii="国标仿宋-GB/T 2312" w:hAnsi="国标仿宋-GB/T 2312" w:eastAsia="国标仿宋-GB/T 2312" w:cs="国标仿宋-GB/T 2312"/>
                <w:kern w:val="2"/>
                <w:sz w:val="24"/>
                <w:szCs w:val="24"/>
                <w:vertAlign w:val="baseline"/>
                <w:lang w:val="en-US" w:eastAsia="zh-CN" w:bidi="ar-SA"/>
              </w:rPr>
              <w:t>3.1 从业人员业务培训情况</w:t>
            </w:r>
          </w:p>
        </w:tc>
        <w:tc>
          <w:tcPr>
            <w:tcW w:w="569" w:type="dxa"/>
            <w:vMerge w:val="restart"/>
            <w:vAlign w:val="center"/>
          </w:tcPr>
          <w:p w14:paraId="41B630EE">
            <w:pPr>
              <w:jc w:val="center"/>
              <w:rPr>
                <w:rFonts w:hint="eastAsia" w:ascii="国标仿宋-GB/T 2312" w:hAnsi="国标仿宋-GB/T 2312" w:eastAsia="国标仿宋-GB/T 2312" w:cs="国标仿宋-GB/T 2312"/>
                <w:kern w:val="2"/>
                <w:sz w:val="24"/>
                <w:szCs w:val="24"/>
                <w:vertAlign w:val="baseline"/>
                <w:lang w:val="en-US" w:eastAsia="zh-CN" w:bidi="ar-SA"/>
              </w:rPr>
            </w:pPr>
          </w:p>
          <w:p w14:paraId="72D5D4D0">
            <w:pPr>
              <w:jc w:val="center"/>
              <w:rPr>
                <w:rFonts w:hint="eastAsia" w:ascii="国标仿宋-GB/T 2312" w:hAnsi="国标仿宋-GB/T 2312" w:eastAsia="国标仿宋-GB/T 2312" w:cs="国标仿宋-GB/T 2312"/>
                <w:kern w:val="2"/>
                <w:sz w:val="24"/>
                <w:szCs w:val="24"/>
                <w:vertAlign w:val="baseline"/>
                <w:lang w:val="en-US" w:eastAsia="zh-CN" w:bidi="ar-SA"/>
              </w:rPr>
            </w:pPr>
            <w:r>
              <w:rPr>
                <w:rFonts w:hint="eastAsia" w:ascii="国标仿宋-GB/T 2312" w:hAnsi="国标仿宋-GB/T 2312" w:eastAsia="国标仿宋-GB/T 2312" w:cs="国标仿宋-GB/T 2312"/>
                <w:kern w:val="2"/>
                <w:sz w:val="24"/>
                <w:szCs w:val="24"/>
                <w:vertAlign w:val="baseline"/>
                <w:lang w:val="en-US" w:eastAsia="zh-CN" w:bidi="ar-SA"/>
              </w:rPr>
              <w:t>4</w:t>
            </w:r>
          </w:p>
        </w:tc>
        <w:tc>
          <w:tcPr>
            <w:tcW w:w="7185" w:type="dxa"/>
            <w:vMerge w:val="restart"/>
            <w:vAlign w:val="center"/>
          </w:tcPr>
          <w:p w14:paraId="142253C0">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国标仿宋-GB/T 2312" w:hAnsi="国标仿宋-GB/T 2312" w:eastAsia="国标仿宋-GB/T 2312" w:cs="国标仿宋-GB/T 2312"/>
                <w:kern w:val="2"/>
                <w:sz w:val="24"/>
                <w:szCs w:val="24"/>
                <w:vertAlign w:val="baseline"/>
                <w:lang w:val="en-US" w:eastAsia="zh-CN" w:bidi="ar-SA"/>
              </w:rPr>
            </w:pPr>
            <w:r>
              <w:rPr>
                <w:rFonts w:hint="eastAsia" w:ascii="国标仿宋-GB/T 2312" w:hAnsi="国标仿宋-GB/T 2312" w:eastAsia="国标仿宋-GB/T 2312" w:cs="国标仿宋-GB/T 2312"/>
                <w:kern w:val="2"/>
                <w:sz w:val="24"/>
                <w:szCs w:val="24"/>
                <w:vertAlign w:val="baseline"/>
                <w:lang w:val="en-US" w:eastAsia="zh-CN" w:bidi="ar-SA"/>
              </w:rPr>
              <w:t>近 1 年内，本单位在职人员参加政府采购行业主管部门或正规行业协会政府采购业务培训，每提供 1 名人员有效培训证明得 2 分，最高得 4 分；须提供培训证书、参训凭证及社保佐证。</w:t>
            </w:r>
          </w:p>
        </w:tc>
        <w:tc>
          <w:tcPr>
            <w:tcW w:w="734" w:type="dxa"/>
            <w:vAlign w:val="center"/>
          </w:tcPr>
          <w:p w14:paraId="72AC024E">
            <w:pPr>
              <w:jc w:val="center"/>
              <w:rPr>
                <w:rFonts w:hint="eastAsia" w:ascii="国标仿宋-GB/T 2312" w:hAnsi="国标仿宋-GB/T 2312" w:eastAsia="国标仿宋-GB/T 2312" w:cs="国标仿宋-GB/T 2312"/>
                <w:sz w:val="24"/>
                <w:szCs w:val="24"/>
                <w:vertAlign w:val="baseline"/>
                <w:lang w:val="en-US" w:eastAsia="zh-CN"/>
              </w:rPr>
            </w:pPr>
          </w:p>
        </w:tc>
      </w:tr>
      <w:tr w14:paraId="2E878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75" w:type="dxa"/>
            <w:vMerge w:val="continue"/>
            <w:vAlign w:val="center"/>
          </w:tcPr>
          <w:p w14:paraId="4C7CAD3C">
            <w:pPr>
              <w:jc w:val="center"/>
              <w:rPr>
                <w:rFonts w:hint="eastAsia" w:ascii="国标楷体" w:hAnsi="国标楷体" w:eastAsia="国标楷体" w:cs="国标楷体"/>
                <w:kern w:val="2"/>
                <w:sz w:val="24"/>
                <w:szCs w:val="24"/>
                <w:vertAlign w:val="baseline"/>
                <w:lang w:val="en-US" w:eastAsia="zh-CN" w:bidi="ar-SA"/>
              </w:rPr>
            </w:pPr>
            <w:r>
              <w:rPr>
                <w:rFonts w:hint="eastAsia" w:ascii="国标楷体" w:hAnsi="国标楷体" w:eastAsia="国标楷体" w:cs="国标楷体"/>
                <w:kern w:val="2"/>
                <w:sz w:val="24"/>
                <w:szCs w:val="24"/>
                <w:vertAlign w:val="baseline"/>
                <w:lang w:val="en-US" w:eastAsia="zh-CN" w:bidi="ar-SA"/>
              </w:rPr>
              <w:t>找</w:t>
            </w:r>
          </w:p>
        </w:tc>
        <w:tc>
          <w:tcPr>
            <w:tcW w:w="1637" w:type="dxa"/>
            <w:vMerge w:val="continue"/>
            <w:vAlign w:val="center"/>
          </w:tcPr>
          <w:p w14:paraId="65ADBFE4">
            <w:pPr>
              <w:jc w:val="left"/>
              <w:rPr>
                <w:rFonts w:hint="eastAsia" w:ascii="国标仿宋-GB/T 2312" w:hAnsi="国标仿宋-GB/T 2312" w:eastAsia="国标仿宋-GB/T 2312" w:cs="国标仿宋-GB/T 2312"/>
                <w:kern w:val="2"/>
                <w:sz w:val="24"/>
                <w:szCs w:val="24"/>
                <w:vertAlign w:val="baseline"/>
                <w:lang w:val="en-US" w:eastAsia="zh-CN" w:bidi="ar-SA"/>
              </w:rPr>
            </w:pPr>
          </w:p>
        </w:tc>
        <w:tc>
          <w:tcPr>
            <w:tcW w:w="569" w:type="dxa"/>
            <w:vMerge w:val="continue"/>
            <w:vAlign w:val="center"/>
          </w:tcPr>
          <w:p w14:paraId="7016AF91">
            <w:pPr>
              <w:jc w:val="center"/>
              <w:rPr>
                <w:rFonts w:hint="eastAsia" w:ascii="国标仿宋-GB/T 2312" w:hAnsi="国标仿宋-GB/T 2312" w:eastAsia="国标仿宋-GB/T 2312" w:cs="国标仿宋-GB/T 2312"/>
                <w:kern w:val="2"/>
                <w:sz w:val="24"/>
                <w:szCs w:val="24"/>
                <w:vertAlign w:val="baseline"/>
                <w:lang w:val="en-US" w:eastAsia="zh-CN" w:bidi="ar-SA"/>
              </w:rPr>
            </w:pPr>
          </w:p>
        </w:tc>
        <w:tc>
          <w:tcPr>
            <w:tcW w:w="7185" w:type="dxa"/>
            <w:vMerge w:val="continue"/>
            <w:vAlign w:val="center"/>
          </w:tcPr>
          <w:p w14:paraId="1FA4FE1E">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国标仿宋-GB/T 2312" w:hAnsi="国标仿宋-GB/T 2312" w:eastAsia="国标仿宋-GB/T 2312" w:cs="国标仿宋-GB/T 2312"/>
                <w:kern w:val="2"/>
                <w:sz w:val="24"/>
                <w:szCs w:val="24"/>
                <w:vertAlign w:val="baseline"/>
                <w:lang w:val="en-US" w:eastAsia="zh-CN" w:bidi="ar-SA"/>
              </w:rPr>
            </w:pPr>
          </w:p>
        </w:tc>
        <w:tc>
          <w:tcPr>
            <w:tcW w:w="734" w:type="dxa"/>
            <w:vAlign w:val="center"/>
          </w:tcPr>
          <w:p w14:paraId="265EAEA1">
            <w:pPr>
              <w:jc w:val="center"/>
              <w:rPr>
                <w:rFonts w:hint="eastAsia" w:ascii="国标仿宋-GB/T 2312" w:hAnsi="国标仿宋-GB/T 2312" w:eastAsia="国标仿宋-GB/T 2312" w:cs="国标仿宋-GB/T 2312"/>
                <w:sz w:val="24"/>
                <w:szCs w:val="24"/>
                <w:vertAlign w:val="baseline"/>
                <w:lang w:val="en-US" w:eastAsia="zh-CN"/>
              </w:rPr>
            </w:pPr>
          </w:p>
        </w:tc>
      </w:tr>
      <w:tr w14:paraId="332C1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75" w:type="dxa"/>
            <w:vMerge w:val="continue"/>
            <w:vAlign w:val="center"/>
          </w:tcPr>
          <w:p w14:paraId="6DD99535">
            <w:pPr>
              <w:jc w:val="center"/>
              <w:rPr>
                <w:rFonts w:hint="eastAsia" w:ascii="国标楷体" w:hAnsi="国标楷体" w:eastAsia="国标楷体" w:cs="国标楷体"/>
                <w:kern w:val="2"/>
                <w:sz w:val="24"/>
                <w:szCs w:val="24"/>
                <w:vertAlign w:val="baseline"/>
                <w:lang w:val="en-US" w:eastAsia="zh-CN" w:bidi="ar-SA"/>
              </w:rPr>
            </w:pPr>
          </w:p>
        </w:tc>
        <w:tc>
          <w:tcPr>
            <w:tcW w:w="1637" w:type="dxa"/>
            <w:vAlign w:val="center"/>
          </w:tcPr>
          <w:p w14:paraId="1E052519">
            <w:pPr>
              <w:jc w:val="left"/>
              <w:rPr>
                <w:rFonts w:hint="eastAsia" w:ascii="国标仿宋-GB/T 2312" w:hAnsi="国标仿宋-GB/T 2312" w:eastAsia="国标仿宋-GB/T 2312" w:cs="国标仿宋-GB/T 2312"/>
                <w:kern w:val="2"/>
                <w:sz w:val="24"/>
                <w:szCs w:val="24"/>
                <w:vertAlign w:val="baseline"/>
                <w:lang w:val="en-US" w:eastAsia="zh-CN" w:bidi="ar-SA"/>
              </w:rPr>
            </w:pPr>
            <w:r>
              <w:rPr>
                <w:rFonts w:hint="eastAsia" w:ascii="国标仿宋-GB/T 2312" w:hAnsi="国标仿宋-GB/T 2312" w:eastAsia="国标仿宋-GB/T 2312" w:cs="国标仿宋-GB/T 2312"/>
                <w:kern w:val="2"/>
                <w:sz w:val="24"/>
                <w:szCs w:val="24"/>
                <w:vertAlign w:val="baseline"/>
                <w:lang w:val="en-US" w:eastAsia="zh-CN" w:bidi="ar-SA"/>
              </w:rPr>
              <w:t>3.2 政府采购代理内部管理制度</w:t>
            </w:r>
          </w:p>
        </w:tc>
        <w:tc>
          <w:tcPr>
            <w:tcW w:w="569" w:type="dxa"/>
            <w:vAlign w:val="center"/>
          </w:tcPr>
          <w:p w14:paraId="234CB686">
            <w:pPr>
              <w:jc w:val="center"/>
              <w:rPr>
                <w:rFonts w:hint="default" w:ascii="国标仿宋-GB/T 2312" w:hAnsi="国标仿宋-GB/T 2312" w:eastAsia="国标仿宋-GB/T 2312" w:cs="国标仿宋-GB/T 2312"/>
                <w:kern w:val="2"/>
                <w:sz w:val="24"/>
                <w:szCs w:val="24"/>
                <w:vertAlign w:val="baseline"/>
                <w:lang w:val="en-US" w:eastAsia="zh-CN" w:bidi="ar-SA"/>
              </w:rPr>
            </w:pPr>
            <w:r>
              <w:rPr>
                <w:rFonts w:hint="eastAsia" w:ascii="国标仿宋-GB/T 2312" w:hAnsi="国标仿宋-GB/T 2312" w:eastAsia="国标仿宋-GB/T 2312" w:cs="国标仿宋-GB/T 2312"/>
                <w:kern w:val="2"/>
                <w:sz w:val="24"/>
                <w:szCs w:val="24"/>
                <w:vertAlign w:val="baseline"/>
                <w:lang w:val="en-US" w:eastAsia="zh-CN" w:bidi="ar-SA"/>
              </w:rPr>
              <w:t>16</w:t>
            </w:r>
          </w:p>
        </w:tc>
        <w:tc>
          <w:tcPr>
            <w:tcW w:w="7185" w:type="dxa"/>
            <w:vAlign w:val="center"/>
          </w:tcPr>
          <w:p w14:paraId="4362F115">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国标仿宋-GB/T 2312" w:hAnsi="国标仿宋-GB/T 2312" w:eastAsia="国标仿宋-GB/T 2312" w:cs="国标仿宋-GB/T 2312"/>
                <w:kern w:val="2"/>
                <w:sz w:val="24"/>
                <w:szCs w:val="24"/>
                <w:vertAlign w:val="baseline"/>
                <w:lang w:val="en-US" w:eastAsia="zh-CN" w:bidi="ar-SA"/>
              </w:rPr>
            </w:pPr>
            <w:r>
              <w:rPr>
                <w:rFonts w:hint="eastAsia" w:ascii="国标仿宋-GB/T 2312" w:hAnsi="国标仿宋-GB/T 2312" w:eastAsia="国标仿宋-GB/T 2312" w:cs="国标仿宋-GB/T 2312"/>
                <w:kern w:val="2"/>
                <w:sz w:val="24"/>
                <w:szCs w:val="24"/>
                <w:vertAlign w:val="baseline"/>
                <w:lang w:val="en-US" w:eastAsia="zh-CN" w:bidi="ar-SA"/>
              </w:rPr>
              <w:t>具备完整政府采购代理内部管理制度，须提供制度完整文本，仅提供目录不得分；每具备 1 项完整制度得 1.6 分，满分 16 分：1. 采购代理委托管理制度；2. 采购需求制定管理制度；3. 采购文件编制管理制度；4. 信息公告管理制度；5. 评审现场管理制度；6. 保证金 / 资金管理制度；7. 质疑答复处置管理制度；8. 档案管理制度；9. 内控风险管理制度；10. 业务质量复核管理制度。</w:t>
            </w:r>
          </w:p>
        </w:tc>
        <w:tc>
          <w:tcPr>
            <w:tcW w:w="734" w:type="dxa"/>
            <w:vAlign w:val="center"/>
          </w:tcPr>
          <w:p w14:paraId="618995A6">
            <w:pPr>
              <w:jc w:val="center"/>
              <w:rPr>
                <w:rFonts w:hint="eastAsia" w:ascii="国标仿宋-GB/T 2312" w:hAnsi="国标仿宋-GB/T 2312" w:eastAsia="国标仿宋-GB/T 2312" w:cs="国标仿宋-GB/T 2312"/>
                <w:sz w:val="24"/>
                <w:szCs w:val="24"/>
                <w:vertAlign w:val="baseline"/>
                <w:lang w:val="en-US" w:eastAsia="zh-CN"/>
              </w:rPr>
            </w:pPr>
          </w:p>
        </w:tc>
      </w:tr>
      <w:tr w14:paraId="59B74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0566" w:type="dxa"/>
            <w:gridSpan w:val="4"/>
            <w:vAlign w:val="center"/>
          </w:tcPr>
          <w:p w14:paraId="245197B0">
            <w:pPr>
              <w:jc w:val="center"/>
              <w:rPr>
                <w:rFonts w:hint="eastAsia" w:ascii="国标楷体" w:hAnsi="国标楷体" w:eastAsia="国标楷体" w:cs="国标楷体"/>
                <w:kern w:val="2"/>
                <w:sz w:val="24"/>
                <w:szCs w:val="24"/>
                <w:vertAlign w:val="baseline"/>
                <w:lang w:val="en-US" w:eastAsia="zh-CN" w:bidi="ar-SA"/>
              </w:rPr>
            </w:pPr>
            <w:r>
              <w:rPr>
                <w:rFonts w:hint="eastAsia" w:ascii="国标楷体" w:hAnsi="国标楷体" w:eastAsia="国标楷体" w:cs="国标楷体"/>
                <w:kern w:val="2"/>
                <w:sz w:val="24"/>
                <w:szCs w:val="24"/>
                <w:vertAlign w:val="baseline"/>
                <w:lang w:val="en-US" w:eastAsia="zh-CN" w:bidi="ar-SA"/>
              </w:rPr>
              <w:t>企业管理情况得分为：</w:t>
            </w:r>
          </w:p>
        </w:tc>
        <w:tc>
          <w:tcPr>
            <w:tcW w:w="734" w:type="dxa"/>
            <w:vAlign w:val="center"/>
          </w:tcPr>
          <w:p w14:paraId="0337978E">
            <w:pPr>
              <w:jc w:val="center"/>
              <w:rPr>
                <w:rFonts w:hint="eastAsia" w:ascii="国标仿宋-GB/T 2312" w:hAnsi="国标仿宋-GB/T 2312" w:eastAsia="国标仿宋-GB/T 2312" w:cs="国标仿宋-GB/T 2312"/>
                <w:sz w:val="24"/>
                <w:szCs w:val="24"/>
                <w:vertAlign w:val="baseline"/>
                <w:lang w:val="en-US" w:eastAsia="zh-CN"/>
              </w:rPr>
            </w:pPr>
          </w:p>
        </w:tc>
      </w:tr>
      <w:tr w14:paraId="2BFD8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75" w:type="dxa"/>
            <w:vMerge w:val="restart"/>
            <w:vAlign w:val="center"/>
          </w:tcPr>
          <w:p w14:paraId="265E9C47">
            <w:pPr>
              <w:jc w:val="center"/>
              <w:rPr>
                <w:rFonts w:hint="eastAsia" w:ascii="国标楷体" w:hAnsi="国标楷体" w:eastAsia="国标楷体" w:cs="国标楷体"/>
                <w:kern w:val="2"/>
                <w:sz w:val="24"/>
                <w:szCs w:val="24"/>
                <w:vertAlign w:val="baseline"/>
                <w:lang w:val="en-US" w:eastAsia="zh-CN" w:bidi="ar-SA"/>
              </w:rPr>
            </w:pPr>
            <w:r>
              <w:rPr>
                <w:rFonts w:hint="eastAsia" w:ascii="国标楷体" w:hAnsi="国标楷体" w:eastAsia="国标楷体" w:cs="国标楷体"/>
                <w:kern w:val="2"/>
                <w:sz w:val="24"/>
                <w:szCs w:val="24"/>
                <w:vertAlign w:val="baseline"/>
                <w:lang w:val="en-US" w:eastAsia="zh-CN" w:bidi="ar-SA"/>
              </w:rPr>
              <w:t>4.采购代理服务方案（30%）</w:t>
            </w:r>
          </w:p>
        </w:tc>
        <w:tc>
          <w:tcPr>
            <w:tcW w:w="1637" w:type="dxa"/>
            <w:vMerge w:val="restart"/>
            <w:vAlign w:val="center"/>
          </w:tcPr>
          <w:p w14:paraId="797FC337">
            <w:pPr>
              <w:jc w:val="left"/>
              <w:rPr>
                <w:rFonts w:hint="default" w:ascii="国标仿宋-GB/T 2312" w:hAnsi="国标仿宋-GB/T 2312" w:eastAsia="国标仿宋-GB/T 2312" w:cs="国标仿宋-GB/T 2312"/>
                <w:kern w:val="2"/>
                <w:sz w:val="24"/>
                <w:szCs w:val="24"/>
                <w:vertAlign w:val="baseline"/>
                <w:lang w:val="en-US" w:eastAsia="zh-CN" w:bidi="ar-SA"/>
              </w:rPr>
            </w:pPr>
            <w:r>
              <w:rPr>
                <w:rFonts w:hint="eastAsia" w:ascii="国标仿宋-GB/T 2312" w:hAnsi="国标仿宋-GB/T 2312" w:eastAsia="国标仿宋-GB/T 2312" w:cs="国标仿宋-GB/T 2312"/>
                <w:kern w:val="2"/>
                <w:sz w:val="24"/>
                <w:szCs w:val="24"/>
                <w:vertAlign w:val="baseline"/>
                <w:lang w:val="en-US" w:eastAsia="zh-CN" w:bidi="ar-SA"/>
              </w:rPr>
              <w:t>4.1 项目总体响应方案</w:t>
            </w:r>
          </w:p>
        </w:tc>
        <w:tc>
          <w:tcPr>
            <w:tcW w:w="569" w:type="dxa"/>
            <w:vMerge w:val="restart"/>
            <w:vAlign w:val="center"/>
          </w:tcPr>
          <w:p w14:paraId="115B3003">
            <w:pPr>
              <w:jc w:val="center"/>
              <w:rPr>
                <w:rFonts w:hint="default" w:ascii="国标仿宋-GB/T 2312" w:hAnsi="国标仿宋-GB/T 2312" w:eastAsia="国标仿宋-GB/T 2312" w:cs="国标仿宋-GB/T 2312"/>
                <w:kern w:val="2"/>
                <w:sz w:val="24"/>
                <w:szCs w:val="24"/>
                <w:vertAlign w:val="baseline"/>
                <w:lang w:val="en-US" w:eastAsia="zh-CN" w:bidi="ar-SA"/>
              </w:rPr>
            </w:pPr>
            <w:r>
              <w:rPr>
                <w:rFonts w:hint="eastAsia" w:ascii="国标仿宋-GB/T 2312" w:hAnsi="国标仿宋-GB/T 2312" w:eastAsia="国标仿宋-GB/T 2312" w:cs="国标仿宋-GB/T 2312"/>
                <w:kern w:val="2"/>
                <w:sz w:val="24"/>
                <w:szCs w:val="24"/>
                <w:vertAlign w:val="baseline"/>
                <w:lang w:val="en-US" w:eastAsia="zh-CN" w:bidi="ar-SA"/>
              </w:rPr>
              <w:t>10</w:t>
            </w:r>
          </w:p>
        </w:tc>
        <w:tc>
          <w:tcPr>
            <w:tcW w:w="7185" w:type="dxa"/>
            <w:vMerge w:val="restart"/>
            <w:vAlign w:val="center"/>
          </w:tcPr>
          <w:p w14:paraId="728A225B">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国标仿宋-GB/T 2312" w:hAnsi="国标仿宋-GB/T 2312" w:eastAsia="国标仿宋-GB/T 2312" w:cs="国标仿宋-GB/T 2312"/>
                <w:kern w:val="2"/>
                <w:sz w:val="24"/>
                <w:szCs w:val="24"/>
                <w:vertAlign w:val="baseline"/>
                <w:lang w:val="en-US" w:eastAsia="zh-CN" w:bidi="ar-SA"/>
              </w:rPr>
            </w:pPr>
            <w:r>
              <w:rPr>
                <w:rFonts w:hint="eastAsia" w:ascii="国标仿宋-GB/T 2312" w:hAnsi="国标仿宋-GB/T 2312" w:eastAsia="国标仿宋-GB/T 2312" w:cs="国标仿宋-GB/T 2312"/>
                <w:color w:val="000000"/>
                <w:sz w:val="24"/>
                <w:szCs w:val="24"/>
                <w:lang w:val="en-US" w:eastAsia="zh-CN"/>
              </w:rPr>
              <w:t>针对本项目 4 个采购包代理工作编制总体服务方案，分项打分：①对本项目采购代理工作理解充分，采购人需求响应到位（3 分）；②完整列明本项目全流程代理工作内容（3 分）；③明确项目工作响应时限、内部与采购人沟通对接机制（4 分）；缺项按比例扣减；未提供方案本项不得分。</w:t>
            </w:r>
          </w:p>
        </w:tc>
        <w:tc>
          <w:tcPr>
            <w:tcW w:w="734" w:type="dxa"/>
            <w:vAlign w:val="center"/>
          </w:tcPr>
          <w:p w14:paraId="71C06954">
            <w:pPr>
              <w:jc w:val="center"/>
              <w:rPr>
                <w:rFonts w:hint="eastAsia" w:ascii="国标仿宋-GB/T 2312" w:hAnsi="国标仿宋-GB/T 2312" w:eastAsia="国标仿宋-GB/T 2312" w:cs="国标仿宋-GB/T 2312"/>
                <w:sz w:val="24"/>
                <w:szCs w:val="24"/>
                <w:vertAlign w:val="baseline"/>
                <w:lang w:val="en-US" w:eastAsia="zh-CN"/>
              </w:rPr>
            </w:pPr>
          </w:p>
        </w:tc>
      </w:tr>
      <w:tr w14:paraId="78B31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75" w:type="dxa"/>
            <w:vMerge w:val="continue"/>
            <w:vAlign w:val="center"/>
          </w:tcPr>
          <w:p w14:paraId="41E68857">
            <w:pPr>
              <w:jc w:val="center"/>
              <w:rPr>
                <w:rFonts w:hint="eastAsia" w:ascii="国标楷体" w:hAnsi="国标楷体" w:eastAsia="国标楷体" w:cs="国标楷体"/>
                <w:kern w:val="2"/>
                <w:sz w:val="24"/>
                <w:szCs w:val="24"/>
                <w:vertAlign w:val="baseline"/>
                <w:lang w:val="en-US" w:eastAsia="zh-CN" w:bidi="ar-SA"/>
              </w:rPr>
            </w:pPr>
          </w:p>
        </w:tc>
        <w:tc>
          <w:tcPr>
            <w:tcW w:w="1637" w:type="dxa"/>
            <w:vMerge w:val="continue"/>
            <w:vAlign w:val="center"/>
          </w:tcPr>
          <w:p w14:paraId="22560E7F">
            <w:pPr>
              <w:jc w:val="left"/>
              <w:rPr>
                <w:rFonts w:hint="eastAsia" w:ascii="国标仿宋-GB/T 2312" w:hAnsi="国标仿宋-GB/T 2312" w:eastAsia="国标仿宋-GB/T 2312" w:cs="国标仿宋-GB/T 2312"/>
                <w:kern w:val="2"/>
                <w:sz w:val="24"/>
                <w:szCs w:val="24"/>
                <w:vertAlign w:val="baseline"/>
                <w:lang w:val="en-US" w:eastAsia="zh-CN" w:bidi="ar-SA"/>
              </w:rPr>
            </w:pPr>
          </w:p>
        </w:tc>
        <w:tc>
          <w:tcPr>
            <w:tcW w:w="569" w:type="dxa"/>
            <w:vMerge w:val="continue"/>
            <w:vAlign w:val="center"/>
          </w:tcPr>
          <w:p w14:paraId="563ACA05">
            <w:pPr>
              <w:jc w:val="center"/>
              <w:rPr>
                <w:rFonts w:hint="eastAsia" w:ascii="国标仿宋-GB/T 2312" w:hAnsi="国标仿宋-GB/T 2312" w:eastAsia="国标仿宋-GB/T 2312" w:cs="国标仿宋-GB/T 2312"/>
                <w:kern w:val="2"/>
                <w:sz w:val="24"/>
                <w:szCs w:val="24"/>
                <w:vertAlign w:val="baseline"/>
                <w:lang w:val="en-US" w:eastAsia="zh-CN" w:bidi="ar-SA"/>
              </w:rPr>
            </w:pPr>
          </w:p>
        </w:tc>
        <w:tc>
          <w:tcPr>
            <w:tcW w:w="7185" w:type="dxa"/>
            <w:vMerge w:val="continue"/>
            <w:vAlign w:val="center"/>
          </w:tcPr>
          <w:p w14:paraId="62DBDF41">
            <w:pPr>
              <w:pageBreakBefore w:val="0"/>
              <w:widowControl w:val="0"/>
              <w:kinsoku/>
              <w:wordWrap/>
              <w:overflowPunct/>
              <w:topLinePunct w:val="0"/>
              <w:autoSpaceDE/>
              <w:autoSpaceDN/>
              <w:bidi w:val="0"/>
              <w:spacing w:line="480" w:lineRule="exact"/>
              <w:textAlignment w:val="auto"/>
              <w:rPr>
                <w:rFonts w:hint="eastAsia" w:ascii="国标仿宋-GB/T 2312" w:hAnsi="国标仿宋-GB/T 2312" w:eastAsia="国标仿宋-GB/T 2312" w:cs="国标仿宋-GB/T 2312"/>
                <w:color w:val="000000"/>
                <w:sz w:val="24"/>
                <w:szCs w:val="24"/>
              </w:rPr>
            </w:pPr>
          </w:p>
        </w:tc>
        <w:tc>
          <w:tcPr>
            <w:tcW w:w="734" w:type="dxa"/>
            <w:vAlign w:val="center"/>
          </w:tcPr>
          <w:p w14:paraId="5350C4DA">
            <w:pPr>
              <w:jc w:val="center"/>
              <w:rPr>
                <w:rFonts w:hint="eastAsia" w:ascii="国标仿宋-GB/T 2312" w:hAnsi="国标仿宋-GB/T 2312" w:eastAsia="国标仿宋-GB/T 2312" w:cs="国标仿宋-GB/T 2312"/>
                <w:sz w:val="24"/>
                <w:szCs w:val="24"/>
                <w:vertAlign w:val="baseline"/>
                <w:lang w:val="en-US" w:eastAsia="zh-CN"/>
              </w:rPr>
            </w:pPr>
          </w:p>
        </w:tc>
      </w:tr>
      <w:tr w14:paraId="1AC3D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75" w:type="dxa"/>
            <w:vMerge w:val="continue"/>
            <w:vAlign w:val="center"/>
          </w:tcPr>
          <w:p w14:paraId="03983973">
            <w:pPr>
              <w:jc w:val="center"/>
              <w:rPr>
                <w:rFonts w:hint="eastAsia" w:ascii="国标仿宋-GB/T 2312" w:hAnsi="国标仿宋-GB/T 2312" w:eastAsia="国标仿宋-GB/T 2312" w:cs="国标仿宋-GB/T 2312"/>
                <w:kern w:val="2"/>
                <w:sz w:val="24"/>
                <w:szCs w:val="24"/>
                <w:vertAlign w:val="baseline"/>
                <w:lang w:val="en-US" w:eastAsia="zh-CN" w:bidi="ar-SA"/>
              </w:rPr>
            </w:pPr>
          </w:p>
        </w:tc>
        <w:tc>
          <w:tcPr>
            <w:tcW w:w="1637" w:type="dxa"/>
            <w:vMerge w:val="continue"/>
            <w:vAlign w:val="center"/>
          </w:tcPr>
          <w:p w14:paraId="3031BD71">
            <w:pPr>
              <w:jc w:val="center"/>
              <w:rPr>
                <w:rFonts w:hint="eastAsia" w:ascii="国标仿宋-GB/T 2312" w:hAnsi="国标仿宋-GB/T 2312" w:eastAsia="国标仿宋-GB/T 2312" w:cs="国标仿宋-GB/T 2312"/>
                <w:kern w:val="2"/>
                <w:sz w:val="24"/>
                <w:szCs w:val="24"/>
                <w:vertAlign w:val="baseline"/>
                <w:lang w:val="en-US" w:eastAsia="zh-CN" w:bidi="ar-SA"/>
              </w:rPr>
            </w:pPr>
          </w:p>
        </w:tc>
        <w:tc>
          <w:tcPr>
            <w:tcW w:w="569" w:type="dxa"/>
            <w:vMerge w:val="continue"/>
            <w:vAlign w:val="center"/>
          </w:tcPr>
          <w:p w14:paraId="65EE0877">
            <w:pPr>
              <w:jc w:val="center"/>
              <w:rPr>
                <w:rFonts w:hint="eastAsia" w:ascii="国标仿宋-GB/T 2312" w:hAnsi="国标仿宋-GB/T 2312" w:eastAsia="国标仿宋-GB/T 2312" w:cs="国标仿宋-GB/T 2312"/>
                <w:kern w:val="2"/>
                <w:sz w:val="24"/>
                <w:szCs w:val="24"/>
                <w:vertAlign w:val="baseline"/>
                <w:lang w:val="en-US" w:eastAsia="zh-CN" w:bidi="ar-SA"/>
              </w:rPr>
            </w:pPr>
          </w:p>
        </w:tc>
        <w:tc>
          <w:tcPr>
            <w:tcW w:w="7185" w:type="dxa"/>
            <w:vMerge w:val="continue"/>
            <w:vAlign w:val="center"/>
          </w:tcPr>
          <w:p w14:paraId="7843A4B0">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国标仿宋-GB/T 2312" w:hAnsi="国标仿宋-GB/T 2312" w:eastAsia="国标仿宋-GB/T 2312" w:cs="国标仿宋-GB/T 2312"/>
                <w:kern w:val="2"/>
                <w:sz w:val="24"/>
                <w:szCs w:val="24"/>
                <w:vertAlign w:val="baseline"/>
                <w:lang w:val="en-US" w:eastAsia="zh-CN" w:bidi="ar-SA"/>
              </w:rPr>
            </w:pPr>
          </w:p>
        </w:tc>
        <w:tc>
          <w:tcPr>
            <w:tcW w:w="734" w:type="dxa"/>
            <w:vAlign w:val="center"/>
          </w:tcPr>
          <w:p w14:paraId="5376FEB3">
            <w:pPr>
              <w:jc w:val="center"/>
              <w:rPr>
                <w:rFonts w:hint="eastAsia" w:ascii="国标仿宋-GB/T 2312" w:hAnsi="国标仿宋-GB/T 2312" w:eastAsia="国标仿宋-GB/T 2312" w:cs="国标仿宋-GB/T 2312"/>
                <w:sz w:val="24"/>
                <w:szCs w:val="24"/>
                <w:vertAlign w:val="baseline"/>
                <w:lang w:val="en-US" w:eastAsia="zh-CN"/>
              </w:rPr>
            </w:pPr>
          </w:p>
        </w:tc>
      </w:tr>
      <w:tr w14:paraId="4AF97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75" w:type="dxa"/>
            <w:vMerge w:val="continue"/>
            <w:vAlign w:val="center"/>
          </w:tcPr>
          <w:p w14:paraId="2A64F085">
            <w:pPr>
              <w:jc w:val="center"/>
              <w:rPr>
                <w:rFonts w:hint="eastAsia" w:ascii="国标仿宋-GB/T 2312" w:hAnsi="国标仿宋-GB/T 2312" w:eastAsia="国标仿宋-GB/T 2312" w:cs="国标仿宋-GB/T 2312"/>
                <w:kern w:val="2"/>
                <w:sz w:val="24"/>
                <w:szCs w:val="24"/>
                <w:vertAlign w:val="baseline"/>
                <w:lang w:val="en-US" w:eastAsia="zh-CN" w:bidi="ar-SA"/>
              </w:rPr>
            </w:pPr>
          </w:p>
        </w:tc>
        <w:tc>
          <w:tcPr>
            <w:tcW w:w="1637" w:type="dxa"/>
            <w:vMerge w:val="restart"/>
            <w:vAlign w:val="center"/>
          </w:tcPr>
          <w:p w14:paraId="508025A8">
            <w:pPr>
              <w:jc w:val="center"/>
              <w:rPr>
                <w:rFonts w:hint="default" w:ascii="国标仿宋-GB/T 2312" w:hAnsi="国标仿宋-GB/T 2312" w:eastAsia="国标仿宋-GB/T 2312" w:cs="国标仿宋-GB/T 2312"/>
                <w:kern w:val="2"/>
                <w:sz w:val="24"/>
                <w:szCs w:val="24"/>
                <w:vertAlign w:val="baseline"/>
                <w:lang w:val="en-US" w:eastAsia="zh-CN" w:bidi="ar-SA"/>
              </w:rPr>
            </w:pPr>
            <w:r>
              <w:rPr>
                <w:rFonts w:hint="eastAsia" w:ascii="国标仿宋-GB/T 2312" w:hAnsi="国标仿宋-GB/T 2312" w:eastAsia="国标仿宋-GB/T 2312" w:cs="国标仿宋-GB/T 2312"/>
                <w:kern w:val="2"/>
                <w:sz w:val="24"/>
                <w:szCs w:val="24"/>
                <w:vertAlign w:val="baseline"/>
                <w:lang w:val="en-US" w:eastAsia="zh-CN" w:bidi="ar-SA"/>
              </w:rPr>
              <w:t>4.2 多包并行采购专项实施保障方案</w:t>
            </w:r>
          </w:p>
        </w:tc>
        <w:tc>
          <w:tcPr>
            <w:tcW w:w="569" w:type="dxa"/>
            <w:vMerge w:val="restart"/>
            <w:vAlign w:val="center"/>
          </w:tcPr>
          <w:p w14:paraId="2742FFDB">
            <w:pPr>
              <w:jc w:val="center"/>
              <w:rPr>
                <w:rFonts w:hint="default" w:ascii="国标仿宋-GB/T 2312" w:hAnsi="国标仿宋-GB/T 2312" w:eastAsia="国标仿宋-GB/T 2312" w:cs="国标仿宋-GB/T 2312"/>
                <w:kern w:val="2"/>
                <w:sz w:val="24"/>
                <w:szCs w:val="24"/>
                <w:vertAlign w:val="baseline"/>
                <w:lang w:val="en-US" w:eastAsia="zh-CN" w:bidi="ar-SA"/>
              </w:rPr>
            </w:pPr>
            <w:r>
              <w:rPr>
                <w:rFonts w:hint="eastAsia" w:ascii="国标仿宋-GB/T 2312" w:hAnsi="国标仿宋-GB/T 2312" w:eastAsia="国标仿宋-GB/T 2312" w:cs="国标仿宋-GB/T 2312"/>
                <w:kern w:val="2"/>
                <w:sz w:val="24"/>
                <w:szCs w:val="24"/>
                <w:vertAlign w:val="baseline"/>
                <w:lang w:val="en-US" w:eastAsia="zh-CN" w:bidi="ar-SA"/>
              </w:rPr>
              <w:t>20</w:t>
            </w:r>
          </w:p>
        </w:tc>
        <w:tc>
          <w:tcPr>
            <w:tcW w:w="7185" w:type="dxa"/>
            <w:vMerge w:val="restart"/>
            <w:vAlign w:val="center"/>
          </w:tcPr>
          <w:p w14:paraId="3768CABE">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国标仿宋-GB/T 2312" w:hAnsi="国标仿宋-GB/T 2312" w:eastAsia="国标仿宋-GB/T 2312" w:cs="国标仿宋-GB/T 2312"/>
                <w:kern w:val="2"/>
                <w:sz w:val="24"/>
                <w:szCs w:val="24"/>
                <w:vertAlign w:val="baseline"/>
                <w:lang w:val="en-US" w:eastAsia="zh-CN" w:bidi="ar-SA"/>
              </w:rPr>
            </w:pPr>
            <w:r>
              <w:rPr>
                <w:rFonts w:hint="eastAsia" w:ascii="国标仿宋-GB/T 2312" w:hAnsi="国标仿宋-GB/T 2312" w:eastAsia="国标仿宋-GB/T 2312" w:cs="国标仿宋-GB/T 2312"/>
                <w:color w:val="000000"/>
                <w:sz w:val="24"/>
                <w:szCs w:val="24"/>
              </w:rPr>
              <w:t>针对 4 个采购包并行实施编制专项保障方案，共 5 个子项，每项 4 分：①多包并行人员分工、时间进度管控措施；②供应商踏勘、答疑组织工作方案；③开标评审组织、现场风险防控措施；④供应商质疑处理、配合投诉答复工作机制；⑤采购合同智慧云平台备案、全套采购档案整理归档移交方案。子项内容完整合理得对应分值；内容简略、部分缺项酌情扣减；完全未提供本项不得分。</w:t>
            </w:r>
          </w:p>
        </w:tc>
        <w:tc>
          <w:tcPr>
            <w:tcW w:w="734" w:type="dxa"/>
            <w:vAlign w:val="center"/>
          </w:tcPr>
          <w:p w14:paraId="2961ABB9">
            <w:pPr>
              <w:jc w:val="center"/>
              <w:rPr>
                <w:rFonts w:hint="eastAsia" w:ascii="国标仿宋-GB/T 2312" w:hAnsi="国标仿宋-GB/T 2312" w:eastAsia="国标仿宋-GB/T 2312" w:cs="国标仿宋-GB/T 2312"/>
                <w:sz w:val="24"/>
                <w:szCs w:val="24"/>
                <w:vertAlign w:val="baseline"/>
                <w:lang w:val="en-US" w:eastAsia="zh-CN"/>
              </w:rPr>
            </w:pPr>
          </w:p>
        </w:tc>
      </w:tr>
      <w:tr w14:paraId="57A9A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75" w:type="dxa"/>
            <w:vMerge w:val="continue"/>
            <w:vAlign w:val="center"/>
          </w:tcPr>
          <w:p w14:paraId="29DB4E56">
            <w:pPr>
              <w:jc w:val="center"/>
              <w:rPr>
                <w:rFonts w:hint="eastAsia" w:ascii="国标仿宋-GB/T 2312" w:hAnsi="国标仿宋-GB/T 2312" w:eastAsia="国标仿宋-GB/T 2312" w:cs="国标仿宋-GB/T 2312"/>
                <w:kern w:val="2"/>
                <w:sz w:val="24"/>
                <w:szCs w:val="24"/>
                <w:vertAlign w:val="baseline"/>
                <w:lang w:val="en-US" w:eastAsia="zh-CN" w:bidi="ar-SA"/>
              </w:rPr>
            </w:pPr>
          </w:p>
        </w:tc>
        <w:tc>
          <w:tcPr>
            <w:tcW w:w="1637" w:type="dxa"/>
            <w:vMerge w:val="continue"/>
            <w:vAlign w:val="center"/>
          </w:tcPr>
          <w:p w14:paraId="43CC6F4D">
            <w:pPr>
              <w:jc w:val="center"/>
              <w:rPr>
                <w:rFonts w:hint="eastAsia" w:ascii="国标仿宋-GB/T 2312" w:hAnsi="国标仿宋-GB/T 2312" w:eastAsia="国标仿宋-GB/T 2312" w:cs="国标仿宋-GB/T 2312"/>
                <w:kern w:val="2"/>
                <w:sz w:val="24"/>
                <w:szCs w:val="24"/>
                <w:vertAlign w:val="baseline"/>
                <w:lang w:val="en-US" w:eastAsia="zh-CN" w:bidi="ar-SA"/>
              </w:rPr>
            </w:pPr>
          </w:p>
        </w:tc>
        <w:tc>
          <w:tcPr>
            <w:tcW w:w="569" w:type="dxa"/>
            <w:vMerge w:val="continue"/>
            <w:vAlign w:val="center"/>
          </w:tcPr>
          <w:p w14:paraId="3A1CE6FF">
            <w:pPr>
              <w:jc w:val="center"/>
              <w:rPr>
                <w:rFonts w:hint="eastAsia" w:ascii="国标仿宋-GB/T 2312" w:hAnsi="国标仿宋-GB/T 2312" w:eastAsia="国标仿宋-GB/T 2312" w:cs="国标仿宋-GB/T 2312"/>
                <w:kern w:val="2"/>
                <w:sz w:val="24"/>
                <w:szCs w:val="24"/>
                <w:vertAlign w:val="baseline"/>
                <w:lang w:val="en-US" w:eastAsia="zh-CN" w:bidi="ar-SA"/>
              </w:rPr>
            </w:pPr>
          </w:p>
        </w:tc>
        <w:tc>
          <w:tcPr>
            <w:tcW w:w="7185" w:type="dxa"/>
            <w:vMerge w:val="continue"/>
            <w:vAlign w:val="center"/>
          </w:tcPr>
          <w:p w14:paraId="3FD8D2E4">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国标仿宋-GB/T 2312" w:hAnsi="国标仿宋-GB/T 2312" w:eastAsia="国标仿宋-GB/T 2312" w:cs="国标仿宋-GB/T 2312"/>
                <w:kern w:val="2"/>
                <w:sz w:val="24"/>
                <w:szCs w:val="24"/>
                <w:vertAlign w:val="baseline"/>
                <w:lang w:val="en-US" w:eastAsia="zh-CN" w:bidi="ar-SA"/>
              </w:rPr>
            </w:pPr>
          </w:p>
        </w:tc>
        <w:tc>
          <w:tcPr>
            <w:tcW w:w="734" w:type="dxa"/>
            <w:vAlign w:val="center"/>
          </w:tcPr>
          <w:p w14:paraId="1AFB2B52">
            <w:pPr>
              <w:jc w:val="center"/>
              <w:rPr>
                <w:rFonts w:hint="eastAsia" w:ascii="国标仿宋-GB/T 2312" w:hAnsi="国标仿宋-GB/T 2312" w:eastAsia="国标仿宋-GB/T 2312" w:cs="国标仿宋-GB/T 2312"/>
                <w:sz w:val="24"/>
                <w:szCs w:val="24"/>
                <w:vertAlign w:val="baseline"/>
                <w:lang w:val="en-US" w:eastAsia="zh-CN"/>
              </w:rPr>
            </w:pPr>
          </w:p>
        </w:tc>
      </w:tr>
      <w:tr w14:paraId="0267A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75" w:type="dxa"/>
            <w:vAlign w:val="center"/>
          </w:tcPr>
          <w:p w14:paraId="54F3562B">
            <w:pPr>
              <w:jc w:val="center"/>
              <w:rPr>
                <w:rFonts w:hint="eastAsia" w:ascii="国标仿宋-GB/T 2312" w:hAnsi="国标仿宋-GB/T 2312" w:eastAsia="国标仿宋-GB/T 2312" w:cs="国标仿宋-GB/T 2312"/>
                <w:kern w:val="2"/>
                <w:sz w:val="24"/>
                <w:szCs w:val="24"/>
                <w:vertAlign w:val="baseline"/>
                <w:lang w:val="en-US" w:eastAsia="zh-CN" w:bidi="ar-SA"/>
              </w:rPr>
            </w:pPr>
            <w:r>
              <w:rPr>
                <w:rFonts w:hint="eastAsia" w:ascii="国标仿宋-GB/T 2312" w:hAnsi="国标仿宋-GB/T 2312" w:eastAsia="国标仿宋-GB/T 2312" w:cs="国标仿宋-GB/T 2312"/>
                <w:kern w:val="2"/>
                <w:sz w:val="24"/>
                <w:szCs w:val="24"/>
                <w:vertAlign w:val="baseline"/>
                <w:lang w:val="en-US" w:eastAsia="zh-CN" w:bidi="ar-SA"/>
              </w:rPr>
              <w:t>否决条款（不计分）</w:t>
            </w:r>
          </w:p>
        </w:tc>
        <w:tc>
          <w:tcPr>
            <w:tcW w:w="1637" w:type="dxa"/>
            <w:vAlign w:val="center"/>
          </w:tcPr>
          <w:p w14:paraId="40506943">
            <w:pPr>
              <w:jc w:val="center"/>
              <w:rPr>
                <w:rFonts w:hint="default" w:ascii="国标仿宋-GB/T 2312" w:hAnsi="国标仿宋-GB/T 2312" w:eastAsia="国标仿宋-GB/T 2312" w:cs="国标仿宋-GB/T 2312"/>
                <w:kern w:val="2"/>
                <w:sz w:val="24"/>
                <w:szCs w:val="24"/>
                <w:vertAlign w:val="baseline"/>
                <w:lang w:val="en-US" w:eastAsia="zh-CN" w:bidi="ar-SA"/>
              </w:rPr>
            </w:pPr>
            <w:r>
              <w:rPr>
                <w:rFonts w:hint="eastAsia" w:ascii="国标仿宋-GB/T 2312" w:hAnsi="国标仿宋-GB/T 2312" w:eastAsia="国标仿宋-GB/T 2312" w:cs="国标仿宋-GB/T 2312"/>
                <w:kern w:val="2"/>
                <w:sz w:val="24"/>
                <w:szCs w:val="24"/>
                <w:vertAlign w:val="baseline"/>
                <w:lang w:val="en-US" w:eastAsia="zh-CN" w:bidi="ar-SA"/>
              </w:rPr>
              <w:t>企业信誉情况</w:t>
            </w:r>
          </w:p>
        </w:tc>
        <w:tc>
          <w:tcPr>
            <w:tcW w:w="569" w:type="dxa"/>
            <w:vAlign w:val="center"/>
          </w:tcPr>
          <w:p w14:paraId="30F8AB87">
            <w:pPr>
              <w:jc w:val="center"/>
              <w:rPr>
                <w:rFonts w:hint="default" w:ascii="国标仿宋-GB/T 2312" w:hAnsi="国标仿宋-GB/T 2312" w:eastAsia="国标仿宋-GB/T 2312" w:cs="国标仿宋-GB/T 2312"/>
                <w:kern w:val="2"/>
                <w:sz w:val="24"/>
                <w:szCs w:val="24"/>
                <w:vertAlign w:val="baseline"/>
                <w:lang w:val="en-US" w:eastAsia="zh-CN" w:bidi="ar-SA"/>
              </w:rPr>
            </w:pPr>
            <w:r>
              <w:rPr>
                <w:rFonts w:hint="eastAsia" w:ascii="国标仿宋-GB/T 2312" w:hAnsi="国标仿宋-GB/T 2312" w:eastAsia="国标仿宋-GB/T 2312" w:cs="国标仿宋-GB/T 2312"/>
                <w:kern w:val="2"/>
                <w:sz w:val="24"/>
                <w:szCs w:val="24"/>
                <w:vertAlign w:val="baseline"/>
                <w:lang w:val="en-US" w:eastAsia="zh-CN" w:bidi="ar-SA"/>
              </w:rPr>
              <w:t>-</w:t>
            </w:r>
          </w:p>
        </w:tc>
        <w:tc>
          <w:tcPr>
            <w:tcW w:w="7185" w:type="dxa"/>
            <w:vAlign w:val="center"/>
          </w:tcPr>
          <w:p w14:paraId="0647BD18">
            <w:pPr>
              <w:pStyle w:val="2"/>
              <w:pageBreakBefore w:val="0"/>
              <w:widowControl w:val="0"/>
              <w:kinsoku/>
              <w:wordWrap/>
              <w:overflowPunct/>
              <w:topLinePunct w:val="0"/>
              <w:autoSpaceDE/>
              <w:autoSpaceDN/>
              <w:bidi w:val="0"/>
              <w:spacing w:line="480" w:lineRule="exact"/>
              <w:jc w:val="left"/>
              <w:textAlignment w:val="auto"/>
              <w:rPr>
                <w:rFonts w:hint="default"/>
                <w:lang w:val="en-US" w:eastAsia="zh-CN"/>
              </w:rPr>
            </w:pPr>
            <w:r>
              <w:rPr>
                <w:rFonts w:hint="eastAsia" w:ascii="国标仿宋-GB/T 2312" w:hAnsi="国标仿宋-GB/T 2312" w:eastAsia="国标仿宋-GB/T 2312" w:cs="国标仿宋-GB/T 2312"/>
                <w:kern w:val="2"/>
                <w:sz w:val="24"/>
                <w:szCs w:val="24"/>
                <w:vertAlign w:val="baseline"/>
                <w:lang w:val="en-US" w:eastAsia="zh-CN" w:bidi="ar-SA"/>
              </w:rPr>
              <w:t>响应单位存在以下情况之一，则取消遴选资格：1. 处于被责令停业、被吊销营业执照状态；2. 列入 “信用中国” 网站失信被执行人、重大税收违法案件当事人名单、政府采购严重违法失信行为记录名单；3. 处于中国政府采购网 “政府采购严重违法失信行为信息记录” 中的禁止参加政府采购活动期间；4. 近三年参加政府采购活动存在重大违法记录。</w:t>
            </w:r>
          </w:p>
        </w:tc>
        <w:tc>
          <w:tcPr>
            <w:tcW w:w="734" w:type="dxa"/>
            <w:vAlign w:val="center"/>
          </w:tcPr>
          <w:p w14:paraId="10497383">
            <w:pPr>
              <w:jc w:val="center"/>
              <w:rPr>
                <w:rFonts w:hint="eastAsia" w:ascii="国标仿宋-GB/T 2312" w:hAnsi="国标仿宋-GB/T 2312" w:eastAsia="国标仿宋-GB/T 2312" w:cs="国标仿宋-GB/T 2312"/>
                <w:sz w:val="24"/>
                <w:szCs w:val="24"/>
                <w:vertAlign w:val="baseline"/>
                <w:lang w:val="en-US" w:eastAsia="zh-CN"/>
              </w:rPr>
            </w:pPr>
          </w:p>
        </w:tc>
      </w:tr>
      <w:tr w14:paraId="09B9A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0566" w:type="dxa"/>
            <w:gridSpan w:val="4"/>
            <w:vAlign w:val="center"/>
          </w:tcPr>
          <w:p w14:paraId="57EA1649">
            <w:pPr>
              <w:jc w:val="center"/>
              <w:rPr>
                <w:rFonts w:hint="eastAsia" w:ascii="国标仿宋-GB/T 2312" w:hAnsi="国标仿宋-GB/T 2312" w:eastAsia="国标仿宋-GB/T 2312" w:cs="国标仿宋-GB/T 2312"/>
                <w:kern w:val="2"/>
                <w:sz w:val="24"/>
                <w:szCs w:val="24"/>
                <w:vertAlign w:val="baseline"/>
                <w:lang w:val="en-US" w:eastAsia="zh-CN" w:bidi="ar-SA"/>
              </w:rPr>
            </w:pPr>
            <w:r>
              <w:rPr>
                <w:rFonts w:hint="eastAsia" w:ascii="国标仿宋-GB/T 2312" w:hAnsi="国标仿宋-GB/T 2312" w:eastAsia="国标仿宋-GB/T 2312" w:cs="国标仿宋-GB/T 2312"/>
                <w:kern w:val="2"/>
                <w:sz w:val="24"/>
                <w:szCs w:val="24"/>
                <w:vertAlign w:val="baseline"/>
                <w:lang w:val="en-US" w:eastAsia="zh-CN" w:bidi="ar-SA"/>
              </w:rPr>
              <w:t>服务方案情况得分为：</w:t>
            </w:r>
          </w:p>
        </w:tc>
        <w:tc>
          <w:tcPr>
            <w:tcW w:w="734" w:type="dxa"/>
            <w:vAlign w:val="center"/>
          </w:tcPr>
          <w:p w14:paraId="20FBD68A">
            <w:pPr>
              <w:jc w:val="center"/>
              <w:rPr>
                <w:rFonts w:hint="eastAsia" w:ascii="国标仿宋-GB/T 2312" w:hAnsi="国标仿宋-GB/T 2312" w:eastAsia="国标仿宋-GB/T 2312" w:cs="国标仿宋-GB/T 2312"/>
                <w:sz w:val="24"/>
                <w:szCs w:val="24"/>
                <w:vertAlign w:val="baseline"/>
                <w:lang w:val="en-US" w:eastAsia="zh-CN"/>
              </w:rPr>
            </w:pPr>
          </w:p>
        </w:tc>
      </w:tr>
      <w:tr w14:paraId="207F5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0566" w:type="dxa"/>
            <w:gridSpan w:val="4"/>
            <w:vAlign w:val="center"/>
          </w:tcPr>
          <w:p w14:paraId="4D1A838A">
            <w:pPr>
              <w:jc w:val="center"/>
              <w:rPr>
                <w:rFonts w:hint="eastAsia" w:ascii="国标仿宋-GB/T 2312" w:hAnsi="国标仿宋-GB/T 2312" w:eastAsia="国标仿宋-GB/T 2312" w:cs="国标仿宋-GB/T 2312"/>
                <w:b/>
                <w:bCs/>
                <w:kern w:val="2"/>
                <w:sz w:val="24"/>
                <w:szCs w:val="24"/>
                <w:vertAlign w:val="baseline"/>
                <w:lang w:val="en-US" w:eastAsia="zh-CN" w:bidi="ar-SA"/>
              </w:rPr>
            </w:pPr>
            <w:r>
              <w:rPr>
                <w:rFonts w:hint="eastAsia" w:ascii="国标仿宋-GB/T 2312" w:hAnsi="国标仿宋-GB/T 2312" w:eastAsia="国标仿宋-GB/T 2312" w:cs="国标仿宋-GB/T 2312"/>
                <w:b/>
                <w:bCs/>
                <w:kern w:val="2"/>
                <w:sz w:val="24"/>
                <w:szCs w:val="24"/>
                <w:vertAlign w:val="baseline"/>
                <w:lang w:val="en-US" w:eastAsia="zh-CN" w:bidi="ar-SA"/>
              </w:rPr>
              <w:t>总计：</w:t>
            </w:r>
          </w:p>
        </w:tc>
        <w:tc>
          <w:tcPr>
            <w:tcW w:w="734" w:type="dxa"/>
            <w:vAlign w:val="center"/>
          </w:tcPr>
          <w:p w14:paraId="01B13794">
            <w:pPr>
              <w:jc w:val="center"/>
              <w:rPr>
                <w:rFonts w:hint="eastAsia" w:ascii="国标仿宋-GB/T 2312" w:hAnsi="国标仿宋-GB/T 2312" w:eastAsia="国标仿宋-GB/T 2312" w:cs="国标仿宋-GB/T 2312"/>
                <w:sz w:val="24"/>
                <w:szCs w:val="24"/>
                <w:vertAlign w:val="baseline"/>
                <w:lang w:val="en-US" w:eastAsia="zh-CN"/>
              </w:rPr>
            </w:pPr>
          </w:p>
        </w:tc>
      </w:tr>
    </w:tbl>
    <w:p w14:paraId="7C5555A9">
      <w:pPr>
        <w:rPr>
          <w:rFonts w:hint="default" w:ascii="仿宋" w:hAnsi="仿宋" w:eastAsia="仿宋" w:cs="仿宋"/>
          <w:b/>
          <w:bCs/>
          <w:kern w:val="2"/>
          <w:sz w:val="32"/>
          <w:szCs w:val="32"/>
          <w:lang w:val="en-US" w:eastAsia="zh-CN" w:bidi="ar-SA"/>
        </w:rPr>
      </w:pPr>
    </w:p>
    <w:sectPr>
      <w:pgSz w:w="11906" w:h="16838"/>
      <w:pgMar w:top="1247" w:right="1134" w:bottom="1247" w:left="113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2"/>
    <w:family w:val="auto"/>
    <w:pitch w:val="default"/>
    <w:sig w:usb0="00000000" w:usb1="00000000" w:usb2="00000009" w:usb3="00000000" w:csb0="400001FF" w:csb1="FFFF0000"/>
  </w:font>
  <w:font w:name="宋体">
    <w:altName w:val="Droid Sans Fallbac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Droid Sans Fallback">
    <w:panose1 w:val="020B0502000000000001"/>
    <w:charset w:val="86"/>
    <w:family w:val="auto"/>
    <w:pitch w:val="default"/>
    <w:sig w:usb0="910002FF" w:usb1="2BDFFCFB" w:usb2="00000036" w:usb3="00000000" w:csb0="203F01FF" w:csb1="D7FF0000"/>
  </w:font>
  <w:font w:name="方正小标宋简体">
    <w:panose1 w:val="03000509000000000000"/>
    <w:charset w:val="86"/>
    <w:family w:val="auto"/>
    <w:pitch w:val="default"/>
    <w:sig w:usb0="00000001" w:usb1="080E0000" w:usb2="00000000" w:usb3="00000000" w:csb0="00040000" w:csb1="00000000"/>
  </w:font>
  <w:font w:name="仿宋">
    <w:altName w:val="仿宋_GB2312"/>
    <w:panose1 w:val="02010609060101010101"/>
    <w:charset w:val="86"/>
    <w:family w:val="auto"/>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国标楷体">
    <w:panose1 w:val="02000500000000000000"/>
    <w:charset w:val="86"/>
    <w:family w:val="auto"/>
    <w:pitch w:val="default"/>
    <w:sig w:usb0="00000001" w:usb1="08000000" w:usb2="00000000" w:usb3="00000000" w:csb0="00040000" w:csb1="00000000"/>
  </w:font>
  <w:font w:name="国标仿宋-GB/T 2312">
    <w:panose1 w:val="02000500000000000000"/>
    <w:charset w:val="86"/>
    <w:family w:val="auto"/>
    <w:pitch w:val="default"/>
    <w:sig w:usb0="800002AF" w:usb1="08476CF8" w:usb2="0000001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ZiMTU2OTgwODQ1ZjExZWRiOWJlMGU1MDg5ZTk4NzIifQ=="/>
  </w:docVars>
  <w:rsids>
    <w:rsidRoot w:val="64D37B25"/>
    <w:rsid w:val="040B1CDE"/>
    <w:rsid w:val="07831251"/>
    <w:rsid w:val="0A5A2A00"/>
    <w:rsid w:val="0BB7EBC8"/>
    <w:rsid w:val="10C45B0E"/>
    <w:rsid w:val="188579DA"/>
    <w:rsid w:val="197F1E1D"/>
    <w:rsid w:val="19E3474C"/>
    <w:rsid w:val="1EF53A59"/>
    <w:rsid w:val="26225016"/>
    <w:rsid w:val="2CCF7909"/>
    <w:rsid w:val="2FF4110A"/>
    <w:rsid w:val="304C5976"/>
    <w:rsid w:val="31643586"/>
    <w:rsid w:val="330752C3"/>
    <w:rsid w:val="356D4F45"/>
    <w:rsid w:val="377FFAAF"/>
    <w:rsid w:val="37F11F16"/>
    <w:rsid w:val="3CBE6346"/>
    <w:rsid w:val="3E8807F2"/>
    <w:rsid w:val="40DE6ABE"/>
    <w:rsid w:val="4554734F"/>
    <w:rsid w:val="4B0325F2"/>
    <w:rsid w:val="4BA10E6A"/>
    <w:rsid w:val="4D39374B"/>
    <w:rsid w:val="53FE8DD2"/>
    <w:rsid w:val="5683367D"/>
    <w:rsid w:val="5A6D1FF5"/>
    <w:rsid w:val="5C533519"/>
    <w:rsid w:val="5FF4A0EA"/>
    <w:rsid w:val="628110AA"/>
    <w:rsid w:val="64D37B25"/>
    <w:rsid w:val="6DF95579"/>
    <w:rsid w:val="6ECB549B"/>
    <w:rsid w:val="773B756B"/>
    <w:rsid w:val="77C65A04"/>
    <w:rsid w:val="79F41466"/>
    <w:rsid w:val="7A9B48AE"/>
    <w:rsid w:val="7E395926"/>
    <w:rsid w:val="7FF65CCB"/>
    <w:rsid w:val="7FF766C1"/>
    <w:rsid w:val="DD3BD2B0"/>
    <w:rsid w:val="E7EF637E"/>
    <w:rsid w:val="ED9F6F88"/>
    <w:rsid w:val="EECB461B"/>
    <w:rsid w:val="EFBF3745"/>
    <w:rsid w:val="F27F1816"/>
    <w:rsid w:val="FD7B6A55"/>
    <w:rsid w:val="FFE72F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
    <w:pPr>
      <w:keepNext/>
      <w:keepLines/>
      <w:adjustRightInd w:val="0"/>
      <w:snapToGrid w:val="0"/>
      <w:spacing w:line="360" w:lineRule="auto"/>
      <w:jc w:val="center"/>
      <w:outlineLvl w:val="1"/>
    </w:pPr>
    <w:rPr>
      <w:rFonts w:ascii="宋体" w:hAnsi="Arial"/>
      <w:sz w:val="32"/>
      <w:szCs w:val="32"/>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874</Words>
  <Characters>905</Characters>
  <Lines>0</Lines>
  <Paragraphs>0</Paragraphs>
  <TotalTime>60</TotalTime>
  <ScaleCrop>false</ScaleCrop>
  <LinksUpToDate>false</LinksUpToDate>
  <CharactersWithSpaces>965</CharactersWithSpaces>
  <Application>WPS Office_12.1.2.22571_F1E327BC-269C-435d-A152-05C5408002CA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2023-07-01T01:28:00Z</dcterms:created>
  <dc:creator>WPS_1628485930</dc:creator>
  <cp:lastModifiedBy>蕊</cp:lastModifiedBy>
  <cp:lastPrinted>2026-10-22T16:58:28Z</cp:lastPrinted>
  <dcterms:modified xsi:type="dcterms:W3CDTF">2026-10-22T16:58:35Z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2052-12.1.2.22571</vt:lpwstr>
  </property>
  <property fmtid="{D5CDD505-2E9C-101B-9397-08002B2CF9AE}" pid="3" name="ICV">
    <vt:lpwstr>ED76B3843BB24BA69E5CA20B4B478FFE_13</vt:lpwstr>
  </property>
  <property fmtid="{D5CDD505-2E9C-101B-9397-08002B2CF9AE}" pid="4" name="KSOTemplateDocerSaveRecord">
    <vt:lpwstr>eyJoZGlkIjoiNWY1OWI2YjdmM2U0ZGQzN2U2OWFjZjIyMTAwZGMxYTAifQ==</vt:lpwstr>
  </property>
</Properties>
</file>