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lang w:val="en-US" w:eastAsia="zh-CN"/>
        </w:rPr>
      </w:pPr>
      <w:r>
        <w:rPr>
          <w:rFonts w:hint="eastAsia" w:ascii="黑体" w:hAnsi="黑体" w:eastAsia="黑体"/>
          <w:lang w:eastAsia="zh-CN"/>
        </w:rPr>
        <w:t>附件</w:t>
      </w:r>
      <w:r>
        <w:rPr>
          <w:rFonts w:hint="eastAsia" w:ascii="黑体" w:hAnsi="黑体" w:eastAsia="黑体"/>
          <w:lang w:val="en-US" w:eastAsia="zh-CN"/>
        </w:rPr>
        <w:t>4</w:t>
      </w:r>
    </w:p>
    <w:p>
      <w:pPr>
        <w:jc w:val="center"/>
        <w:rPr>
          <w:rFonts w:hint="eastAsia" w:ascii="黑体" w:hAnsi="黑体" w:eastAsia="黑体"/>
          <w:sz w:val="24"/>
          <w:szCs w:val="24"/>
          <w:lang w:eastAsia="zh-CN"/>
        </w:rPr>
      </w:pPr>
      <w:r>
        <w:rPr>
          <w:rFonts w:hint="eastAsia" w:ascii="黑体" w:hAnsi="黑体" w:eastAsia="黑体"/>
          <w:lang w:eastAsia="zh-CN"/>
        </w:rPr>
        <w:t>乳源瑶族自治县就业驿站年度服务指标</w:t>
      </w:r>
    </w:p>
    <w:tbl>
      <w:tblPr>
        <w:tblStyle w:val="2"/>
        <w:tblW w:w="5382" w:type="pct"/>
        <w:jc w:val="center"/>
        <w:shd w:val="clear" w:color="auto" w:fill="FFFFFF"/>
        <w:tblLayout w:type="autofit"/>
        <w:tblCellMar>
          <w:top w:w="15" w:type="dxa"/>
          <w:left w:w="15" w:type="dxa"/>
          <w:bottom w:w="15" w:type="dxa"/>
          <w:right w:w="15" w:type="dxa"/>
        </w:tblCellMar>
      </w:tblPr>
      <w:tblGrid>
        <w:gridCol w:w="863"/>
        <w:gridCol w:w="1456"/>
        <w:gridCol w:w="2331"/>
        <w:gridCol w:w="2076"/>
        <w:gridCol w:w="2441"/>
      </w:tblGrid>
      <w:tr>
        <w:tblPrEx>
          <w:tblCellMar>
            <w:top w:w="15" w:type="dxa"/>
            <w:left w:w="15" w:type="dxa"/>
            <w:bottom w:w="15" w:type="dxa"/>
            <w:right w:w="15" w:type="dxa"/>
          </w:tblCellMar>
        </w:tblPrEx>
        <w:trPr>
          <w:tblHeader/>
          <w:jc w:val="center"/>
        </w:trPr>
        <w:tc>
          <w:tcPr>
            <w:tcW w:w="863"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序号</w:t>
            </w:r>
          </w:p>
        </w:tc>
        <w:tc>
          <w:tcPr>
            <w:tcW w:w="1456"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both"/>
              <w:rPr>
                <w:rFonts w:hint="eastAsia" w:ascii="黑体" w:hAnsi="黑体" w:eastAsia="黑体"/>
                <w:sz w:val="24"/>
                <w:szCs w:val="24"/>
                <w:lang w:eastAsia="zh-CN"/>
              </w:rPr>
            </w:pPr>
            <w:r>
              <w:rPr>
                <w:rFonts w:hint="eastAsia" w:ascii="黑体" w:hAnsi="黑体" w:eastAsia="黑体"/>
                <w:sz w:val="24"/>
                <w:szCs w:val="24"/>
                <w:lang w:eastAsia="zh-CN"/>
              </w:rPr>
              <w:t>服务项目</w:t>
            </w:r>
          </w:p>
        </w:tc>
        <w:tc>
          <w:tcPr>
            <w:tcW w:w="233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服务分类</w:t>
            </w:r>
          </w:p>
        </w:tc>
        <w:tc>
          <w:tcPr>
            <w:tcW w:w="2076"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量化指标</w:t>
            </w:r>
          </w:p>
        </w:tc>
        <w:tc>
          <w:tcPr>
            <w:tcW w:w="244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备注</w:t>
            </w:r>
          </w:p>
        </w:tc>
      </w:tr>
      <w:tr>
        <w:tblPrEx>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1</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就业驿站日常基础服务</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收集发布岗位信息</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收集发布就业岗位信息数量</w:t>
            </w:r>
            <w:r>
              <w:rPr>
                <w:rFonts w:hint="eastAsia" w:ascii="仿宋" w:hAnsi="仿宋"/>
                <w:sz w:val="24"/>
                <w:szCs w:val="24"/>
                <w:lang w:val="en-US" w:eastAsia="zh-CN"/>
              </w:rPr>
              <w:t>500</w:t>
            </w:r>
            <w:r>
              <w:rPr>
                <w:rFonts w:hint="eastAsia" w:ascii="仿宋" w:hAnsi="仿宋"/>
                <w:sz w:val="24"/>
                <w:szCs w:val="24"/>
                <w:lang w:eastAsia="zh-CN"/>
              </w:rPr>
              <w:t>条以上。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每月对辖区内登记失业人员进行就业跟踪调查服务，建立服务台账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对辖区内失业人员帮扶比例</w:t>
            </w:r>
            <w:r>
              <w:rPr>
                <w:rFonts w:hint="eastAsia" w:ascii="仿宋" w:hAnsi="仿宋"/>
                <w:sz w:val="24"/>
                <w:szCs w:val="24"/>
                <w:lang w:val="en-US" w:eastAsia="zh-CN"/>
              </w:rPr>
              <w:t>100</w:t>
            </w:r>
            <w:r>
              <w:rPr>
                <w:rFonts w:hint="eastAsia" w:ascii="仿宋" w:hAnsi="仿宋"/>
                <w:sz w:val="24"/>
                <w:szCs w:val="24"/>
                <w:lang w:eastAsia="zh-CN"/>
              </w:rPr>
              <w:t>%以上。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以当年实际数据为准。除就业服务外，还包括影响就业的家庭关系、情绪压力、社会交往等服务。</w:t>
            </w: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对就业困难人员实施就业帮扶，建立服务台账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对辖区内就业困难人员帮扶比例</w:t>
            </w:r>
            <w:r>
              <w:rPr>
                <w:rFonts w:hint="eastAsia" w:ascii="仿宋" w:hAnsi="仿宋"/>
                <w:sz w:val="24"/>
                <w:szCs w:val="24"/>
                <w:lang w:val="en-US" w:eastAsia="zh-CN"/>
              </w:rPr>
              <w:t>100</w:t>
            </w:r>
            <w:r>
              <w:rPr>
                <w:rFonts w:hint="eastAsia" w:ascii="仿宋" w:hAnsi="仿宋"/>
                <w:sz w:val="24"/>
                <w:szCs w:val="24"/>
                <w:lang w:eastAsia="zh-CN"/>
              </w:rPr>
              <w:t>%以上。</w:t>
            </w:r>
          </w:p>
        </w:tc>
        <w:tc>
          <w:tcPr>
            <w:tcW w:w="2441"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以当年实际数据为准</w:t>
            </w: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对离校未就业乳源生源高校毕业生进行跟踪及回访，建立服务台账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服务率</w:t>
            </w:r>
            <w:r>
              <w:rPr>
                <w:rFonts w:hint="eastAsia" w:ascii="仿宋" w:hAnsi="仿宋"/>
                <w:sz w:val="24"/>
                <w:szCs w:val="24"/>
                <w:lang w:val="en-US" w:eastAsia="zh-CN"/>
              </w:rPr>
              <w:t>100</w:t>
            </w:r>
            <w:r>
              <w:rPr>
                <w:rFonts w:hint="eastAsia" w:ascii="仿宋" w:hAnsi="仿宋"/>
                <w:sz w:val="24"/>
                <w:szCs w:val="24"/>
                <w:lang w:eastAsia="zh-CN"/>
              </w:rPr>
              <w:t>%以上。</w:t>
            </w:r>
          </w:p>
        </w:tc>
        <w:tc>
          <w:tcPr>
            <w:tcW w:w="2441"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为到访就业驿站的劳动者提供就业服务，建立服务台账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eastAsia="仿宋" w:cs="仿宋"/>
                <w:color w:val="auto"/>
                <w:sz w:val="24"/>
                <w:szCs w:val="24"/>
              </w:rPr>
              <w:t>定期对辖区失业人员、就业困难人员、高校毕业生等重点群体采取上门走访、电话、微信等服务方式，针对有就业意愿和就业能力的服务对象，提供跟踪服务。（每月服务不少于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0人次。）</w:t>
            </w:r>
            <w:r>
              <w:rPr>
                <w:rFonts w:hint="eastAsia" w:ascii="仿宋" w:hAnsi="仿宋"/>
                <w:sz w:val="24"/>
                <w:szCs w:val="24"/>
                <w:lang w:val="en-US" w:eastAsia="zh-CN"/>
              </w:rPr>
              <w:t>半年报送成功帮扶个案（不少于3个），全年不少于6个等</w:t>
            </w:r>
            <w:bookmarkStart w:id="0" w:name="_GoBack"/>
            <w:bookmarkEnd w:id="0"/>
          </w:p>
        </w:tc>
        <w:tc>
          <w:tcPr>
            <w:tcW w:w="2441"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对用人单位提供用工保障服务，建立服务台账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定期对辖区内用工单位采取上门走访、电话或微信等服务方式，收集用工企业、个体工商户、家政企业和平台企业等用工单位的岗位信息。（每月走访用人单位不少于</w:t>
            </w:r>
            <w:r>
              <w:rPr>
                <w:rFonts w:hint="eastAsia" w:ascii="仿宋" w:hAnsi="仿宋"/>
                <w:sz w:val="24"/>
                <w:szCs w:val="24"/>
                <w:lang w:val="en-US" w:eastAsia="zh-CN"/>
              </w:rPr>
              <w:t>20</w:t>
            </w:r>
            <w:r>
              <w:rPr>
                <w:rFonts w:hint="eastAsia" w:ascii="仿宋" w:hAnsi="仿宋"/>
                <w:sz w:val="24"/>
                <w:szCs w:val="24"/>
                <w:lang w:eastAsia="zh-CN"/>
              </w:rPr>
              <w:t>家次。）</w:t>
            </w:r>
          </w:p>
        </w:tc>
        <w:tc>
          <w:tcPr>
            <w:tcW w:w="2441"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服务满意度</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辖区内人力资源供需双方服务满意度保持在90%以上。</w:t>
            </w:r>
          </w:p>
          <w:p>
            <w:pPr>
              <w:rPr>
                <w:rFonts w:hint="eastAsia" w:ascii="仿宋" w:hAnsi="仿宋"/>
                <w:sz w:val="24"/>
                <w:szCs w:val="24"/>
                <w:lang w:eastAsia="zh-CN"/>
              </w:rPr>
            </w:pP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restart"/>
            <w:tcBorders>
              <w:top w:val="nil"/>
              <w:left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2</w:t>
            </w:r>
          </w:p>
          <w:p>
            <w:pPr>
              <w:jc w:val="center"/>
              <w:rPr>
                <w:rFonts w:hint="default" w:ascii="仿宋" w:hAnsi="仿宋"/>
                <w:sz w:val="24"/>
                <w:szCs w:val="24"/>
                <w:lang w:val="en-US" w:eastAsia="zh-CN"/>
              </w:rPr>
            </w:pPr>
          </w:p>
        </w:tc>
        <w:tc>
          <w:tcPr>
            <w:tcW w:w="1456" w:type="dxa"/>
            <w:vMerge w:val="restart"/>
            <w:tcBorders>
              <w:top w:val="nil"/>
              <w:left w:val="nil"/>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就业驿站专业服务</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各类招聘、政策宣传、职业技能提升培训活动等就业创业服务活动</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不少于5场（在本驿站组织各类人员开展职业指导、招聘、政策宣传、职业技能提升培训活动等各类公共就业服务活动5场次以上。）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left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仿宋" w:hAnsi="仿宋"/>
                <w:sz w:val="24"/>
                <w:szCs w:val="24"/>
                <w:lang w:val="en-US" w:eastAsia="zh-CN"/>
              </w:rPr>
            </w:pPr>
          </w:p>
        </w:tc>
        <w:tc>
          <w:tcPr>
            <w:tcW w:w="1456" w:type="dxa"/>
            <w:vMerge w:val="continue"/>
            <w:tcBorders>
              <w:left w:val="nil"/>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仿宋" w:hAnsi="仿宋"/>
                <w:sz w:val="24"/>
                <w:szCs w:val="24"/>
                <w:lang w:val="en-US" w:eastAsia="zh-CN"/>
              </w:rPr>
            </w:pPr>
            <w:r>
              <w:rPr>
                <w:rFonts w:hint="eastAsia" w:ascii="仿宋" w:hAnsi="仿宋"/>
                <w:sz w:val="24"/>
                <w:szCs w:val="24"/>
                <w:lang w:val="en-US" w:eastAsia="zh-CN"/>
              </w:rPr>
              <w:t>及时更新就业驿站系统数据和广告信息，并每天展示就业驿站数据和广告。</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仿宋" w:hAnsi="仿宋"/>
                <w:sz w:val="24"/>
                <w:szCs w:val="24"/>
                <w:lang w:val="en-US" w:eastAsia="zh-CN"/>
              </w:rPr>
            </w:pP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以实际情况为准</w:t>
            </w:r>
          </w:p>
        </w:tc>
      </w:tr>
      <w:tr>
        <w:tblPrEx>
          <w:tblCellMar>
            <w:top w:w="15" w:type="dxa"/>
            <w:left w:w="15" w:type="dxa"/>
            <w:bottom w:w="15" w:type="dxa"/>
            <w:right w:w="15" w:type="dxa"/>
          </w:tblCellMar>
        </w:tblPrEx>
        <w:trPr>
          <w:jc w:val="center"/>
        </w:trPr>
        <w:tc>
          <w:tcPr>
            <w:tcW w:w="863" w:type="dxa"/>
            <w:vMerge w:val="continue"/>
            <w:tcBorders>
              <w:left w:val="single" w:color="000000" w:sz="8" w:space="0"/>
              <w:bottom w:val="single" w:color="auto" w:sz="4"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仿宋" w:hAnsi="仿宋"/>
                <w:sz w:val="24"/>
                <w:szCs w:val="24"/>
                <w:lang w:val="en-US" w:eastAsia="zh-CN"/>
              </w:rPr>
            </w:pPr>
          </w:p>
        </w:tc>
        <w:tc>
          <w:tcPr>
            <w:tcW w:w="1456" w:type="dxa"/>
            <w:vMerge w:val="continue"/>
            <w:tcBorders>
              <w:left w:val="nil"/>
              <w:bottom w:val="single" w:color="auto" w:sz="4"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仿宋" w:hAnsi="仿宋"/>
                <w:sz w:val="24"/>
                <w:szCs w:val="24"/>
                <w:lang w:val="en-US" w:eastAsia="zh-CN"/>
              </w:rPr>
            </w:pPr>
            <w:r>
              <w:rPr>
                <w:rFonts w:hint="eastAsia" w:ascii="仿宋" w:hAnsi="仿宋"/>
                <w:sz w:val="24"/>
                <w:szCs w:val="24"/>
                <w:lang w:val="en-US" w:eastAsia="zh-CN"/>
              </w:rPr>
              <w:t>做好韶码就业服务和为上级部门不定时下发失业人员跟踪情况做好后续跟踪，</w:t>
            </w:r>
            <w:r>
              <w:rPr>
                <w:rFonts w:hint="eastAsia" w:ascii="仿宋" w:hAnsi="仿宋"/>
                <w:sz w:val="24"/>
                <w:szCs w:val="24"/>
                <w:lang w:eastAsia="zh-CN"/>
              </w:rPr>
              <w:t>建立服务台账，</w:t>
            </w:r>
            <w:r>
              <w:rPr>
                <w:rFonts w:hint="eastAsia" w:ascii="仿宋" w:hAnsi="仿宋"/>
                <w:sz w:val="24"/>
                <w:szCs w:val="24"/>
                <w:lang w:val="en-US" w:eastAsia="zh-CN"/>
              </w:rPr>
              <w:t>完成其他相关任务。</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以实际情况为准</w:t>
            </w:r>
          </w:p>
        </w:tc>
      </w:tr>
      <w:tr>
        <w:tblPrEx>
          <w:tblCellMar>
            <w:top w:w="15" w:type="dxa"/>
            <w:left w:w="15" w:type="dxa"/>
            <w:bottom w:w="15" w:type="dxa"/>
            <w:right w:w="15" w:type="dxa"/>
          </w:tblCellMar>
        </w:tblPrEx>
        <w:trPr>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3</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其他服务</w:t>
            </w: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协助所在辖区开展其他就业服务</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确保完成基础服务的前提下，以各街道实际安排为准</w:t>
            </w:r>
          </w:p>
        </w:tc>
      </w:tr>
      <w:tr>
        <w:tblPrEx>
          <w:shd w:val="clear" w:color="auto" w:fill="FFFFFF"/>
          <w:tblCellMar>
            <w:top w:w="15" w:type="dxa"/>
            <w:left w:w="15" w:type="dxa"/>
            <w:bottom w:w="15" w:type="dxa"/>
            <w:right w:w="15" w:type="dxa"/>
          </w:tblCellMar>
        </w:tblPrEx>
        <w:trPr>
          <w:jc w:val="center"/>
        </w:trPr>
        <w:tc>
          <w:tcPr>
            <w:tcW w:w="8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在服务周期内，协助辖区各街道做好就业失业监测，快速响应行业性、区域性及规模性失业突发事件，及时做好受影响人员就业服务对接</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以实际情况为准</w:t>
            </w:r>
          </w:p>
        </w:tc>
      </w:tr>
      <w:tr>
        <w:tblPrEx>
          <w:tblCellMar>
            <w:top w:w="15" w:type="dxa"/>
            <w:left w:w="15" w:type="dxa"/>
            <w:bottom w:w="15" w:type="dxa"/>
            <w:right w:w="15" w:type="dxa"/>
          </w:tblCellMar>
        </w:tblPrEx>
        <w:trPr>
          <w:jc w:val="center"/>
        </w:trPr>
        <w:tc>
          <w:tcPr>
            <w:tcW w:w="8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sz w:val="24"/>
                <w:szCs w:val="24"/>
                <w:lang w:eastAsia="zh-CN"/>
              </w:rPr>
            </w:pP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工作台账管理</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动态更新服务对象就业失业状态，分类建立登记失业人员、就业困难人员、离校未就业高校毕业生就业服务工作台账，同时对开展的就业服务活动、困难群体典型个案建立跟踪服务档案。</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4</w:t>
            </w:r>
          </w:p>
        </w:tc>
        <w:tc>
          <w:tcPr>
            <w:tcW w:w="1456"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资源链接</w:t>
            </w:r>
          </w:p>
        </w:tc>
        <w:tc>
          <w:tcPr>
            <w:tcW w:w="2331"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建立企业、社会组织、政府部门、志愿团队等合作伙伴关系</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不少于2家</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以促进就业为导向链接就业资源</w:t>
            </w:r>
          </w:p>
        </w:tc>
      </w:tr>
      <w:tr>
        <w:tblPrEx>
          <w:tblCellMar>
            <w:top w:w="15" w:type="dxa"/>
            <w:left w:w="15" w:type="dxa"/>
            <w:bottom w:w="15" w:type="dxa"/>
            <w:right w:w="15" w:type="dxa"/>
          </w:tblCellMar>
        </w:tblPrEx>
        <w:trPr>
          <w:jc w:val="center"/>
        </w:trPr>
        <w:tc>
          <w:tcPr>
            <w:tcW w:w="863" w:type="dxa"/>
            <w:tcBorders>
              <w:top w:val="single" w:color="auto" w:sz="4"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5</w:t>
            </w:r>
          </w:p>
        </w:tc>
        <w:tc>
          <w:tcPr>
            <w:tcW w:w="1456"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宣传工作</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媒体刊载报道</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每个驿站每季度在县（市、区）级或以上媒体发布宣传稿件1篇以上。</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内容为正面宣传</w:t>
            </w:r>
            <w:r>
              <w:rPr>
                <w:rFonts w:hint="eastAsia" w:ascii="仿宋" w:hAnsi="仿宋"/>
                <w:sz w:val="24"/>
                <w:szCs w:val="24"/>
                <w:lang w:val="en-US" w:eastAsia="zh-CN"/>
              </w:rPr>
              <w:t>乳</w:t>
            </w:r>
            <w:r>
              <w:rPr>
                <w:rFonts w:hint="eastAsia" w:ascii="仿宋" w:hAnsi="仿宋"/>
                <w:sz w:val="24"/>
                <w:szCs w:val="24"/>
                <w:lang w:eastAsia="zh-CN"/>
              </w:rPr>
              <w:t>源县就业情况，县级或以上媒体报道，同一内容主题的新闻报道算作1篇</w:t>
            </w:r>
          </w:p>
        </w:tc>
      </w:tr>
      <w:tr>
        <w:tblPrEx>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6</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行政工作</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年度计划</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1份</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每年1份</w:t>
            </w: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每季度总结</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4份</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每年4次</w:t>
            </w:r>
          </w:p>
        </w:tc>
      </w:tr>
      <w:tr>
        <w:tblPrEx>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7</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规章制度建设</w:t>
            </w: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val="en-US" w:eastAsia="zh-CN"/>
              </w:rPr>
              <w:t>乳</w:t>
            </w:r>
            <w:r>
              <w:rPr>
                <w:rFonts w:hint="eastAsia" w:ascii="仿宋" w:hAnsi="仿宋"/>
                <w:sz w:val="24"/>
                <w:szCs w:val="24"/>
                <w:lang w:eastAsia="zh-CN"/>
              </w:rPr>
              <w:t>源县就业驿站服务标准化工作手册</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运营周期内1份</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根据工作实际不定期更新内容</w:t>
            </w: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val="en-US" w:eastAsia="zh-CN"/>
              </w:rPr>
              <w:t>乳</w:t>
            </w:r>
            <w:r>
              <w:rPr>
                <w:rFonts w:hint="eastAsia" w:ascii="仿宋" w:hAnsi="仿宋"/>
                <w:sz w:val="24"/>
                <w:szCs w:val="24"/>
                <w:lang w:eastAsia="zh-CN"/>
              </w:rPr>
              <w:t>源县就业驿站管理手册</w:t>
            </w:r>
          </w:p>
        </w:tc>
        <w:tc>
          <w:tcPr>
            <w:tcW w:w="2076"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运营周期内1份</w:t>
            </w:r>
          </w:p>
        </w:tc>
        <w:tc>
          <w:tcPr>
            <w:tcW w:w="2441"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根据工作实际不定期更新内容</w:t>
            </w:r>
          </w:p>
        </w:tc>
      </w:tr>
      <w:tr>
        <w:tblPrEx>
          <w:tblCellMar>
            <w:top w:w="15" w:type="dxa"/>
            <w:left w:w="15" w:type="dxa"/>
            <w:bottom w:w="15" w:type="dxa"/>
            <w:right w:w="15" w:type="dxa"/>
          </w:tblCellMar>
        </w:tblPrEx>
        <w:trPr>
          <w:jc w:val="center"/>
        </w:trPr>
        <w:tc>
          <w:tcPr>
            <w:tcW w:w="863"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eastAsia" w:ascii="仿宋" w:hAnsi="仿宋"/>
                <w:sz w:val="24"/>
                <w:szCs w:val="24"/>
                <w:lang w:eastAsia="zh-CN"/>
              </w:rPr>
            </w:pPr>
            <w:r>
              <w:rPr>
                <w:rFonts w:hint="eastAsia" w:ascii="仿宋" w:hAnsi="仿宋"/>
                <w:sz w:val="24"/>
                <w:szCs w:val="24"/>
                <w:lang w:eastAsia="zh-CN"/>
              </w:rPr>
              <w:t>8</w:t>
            </w:r>
          </w:p>
        </w:tc>
        <w:tc>
          <w:tcPr>
            <w:tcW w:w="1456"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设施维护</w:t>
            </w:r>
          </w:p>
        </w:tc>
        <w:tc>
          <w:tcPr>
            <w:tcW w:w="233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工作环境</w:t>
            </w:r>
          </w:p>
        </w:tc>
        <w:tc>
          <w:tcPr>
            <w:tcW w:w="2076"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驿站工作环境要求卫生干净整洁。</w:t>
            </w:r>
          </w:p>
        </w:tc>
        <w:tc>
          <w:tcPr>
            <w:tcW w:w="2441"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基础设施</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驿站内水、电、网络等基础设施正常使用。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办公设备</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办公电脑、打印机、LED屏等电子设备正常使用。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物资物料</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工作指引、服务指引、政策宣传资料、招聘信息等资讯齐全。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r>
        <w:tblPrEx>
          <w:tblCellMar>
            <w:top w:w="15" w:type="dxa"/>
            <w:left w:w="15" w:type="dxa"/>
            <w:bottom w:w="15" w:type="dxa"/>
            <w:right w:w="15" w:type="dxa"/>
          </w:tblCellMar>
        </w:tblPrEx>
        <w:trPr>
          <w:jc w:val="center"/>
        </w:trPr>
        <w:tc>
          <w:tcPr>
            <w:tcW w:w="863"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sz w:val="24"/>
                <w:szCs w:val="24"/>
                <w:lang w:eastAsia="zh-CN"/>
              </w:rPr>
            </w:pPr>
          </w:p>
        </w:tc>
        <w:tc>
          <w:tcPr>
            <w:tcW w:w="1456" w:type="dxa"/>
            <w:vMerge w:val="continue"/>
            <w:tcBorders>
              <w:top w:val="nil"/>
              <w:left w:val="nil"/>
              <w:bottom w:val="single" w:color="000000" w:sz="8" w:space="0"/>
              <w:right w:val="single" w:color="000000" w:sz="8" w:space="0"/>
            </w:tcBorders>
            <w:shd w:val="clear" w:color="auto" w:fill="FFFFFF"/>
            <w:vAlign w:val="center"/>
          </w:tcPr>
          <w:p>
            <w:pPr>
              <w:rPr>
                <w:rFonts w:hint="eastAsia" w:ascii="仿宋" w:hAnsi="仿宋"/>
                <w:sz w:val="24"/>
                <w:szCs w:val="24"/>
                <w:lang w:eastAsia="zh-CN"/>
              </w:rPr>
            </w:pPr>
          </w:p>
        </w:tc>
        <w:tc>
          <w:tcPr>
            <w:tcW w:w="233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便民服务</w:t>
            </w:r>
          </w:p>
        </w:tc>
        <w:tc>
          <w:tcPr>
            <w:tcW w:w="2076"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r>
              <w:rPr>
                <w:rFonts w:hint="eastAsia" w:ascii="仿宋" w:hAnsi="仿宋"/>
                <w:sz w:val="24"/>
                <w:szCs w:val="24"/>
                <w:lang w:eastAsia="zh-CN"/>
              </w:rPr>
              <w:t>饮用水、急救药箱等便民用品齐全。</w:t>
            </w:r>
          </w:p>
        </w:tc>
        <w:tc>
          <w:tcPr>
            <w:tcW w:w="2441"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 w:hAnsi="仿宋"/>
                <w:sz w:val="24"/>
                <w:szCs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21">
    <w:altName w:val="URW Book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9E179B0"/>
    <w:rsid w:val="5DE61FC8"/>
    <w:rsid w:val="74ED08CE"/>
    <w:rsid w:val="7EFC1D60"/>
    <w:rsid w:val="7FBB680C"/>
    <w:rsid w:val="7FE7F27E"/>
    <w:rsid w:val="CFFB8FF3"/>
    <w:rsid w:val="E95D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仿宋" w:cs="21"/>
      <w:kern w:val="0"/>
      <w:sz w:val="32"/>
      <w:szCs w:val="22"/>
      <w:lang w:val="en-US" w:eastAsia="en-US"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1070</Words>
  <Characters>1085</Characters>
  <Lines>0</Lines>
  <Paragraphs>0</Paragraphs>
  <TotalTime>1</TotalTime>
  <ScaleCrop>false</ScaleCrop>
  <LinksUpToDate>false</LinksUpToDate>
  <CharactersWithSpaces>1085</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user</cp:lastModifiedBy>
  <dcterms:modified xsi:type="dcterms:W3CDTF">2025-06-03T14:49:51Z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eyJoZGlkIjoiYzE3ODIwNzc0ZjQ1ODYyMDhjMGFkMGU2MDllYTFmMTkifQ==</vt:lpwstr>
  </property>
  <property fmtid="{D5CDD505-2E9C-101B-9397-08002B2CF9AE}" pid="4" name="ICV">
    <vt:lpwstr>082A571BDB744D49B78F4E7E456BEED0_12</vt:lpwstr>
  </property>
</Properties>
</file>