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F6D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附件2：</w:t>
      </w:r>
    </w:p>
    <w:p w14:paraId="1EC1DF66">
      <w:pPr>
        <w:pStyle w:val="2"/>
        <w:rPr>
          <w:rFonts w:hint="eastAsia"/>
          <w:lang w:val="en-US" w:eastAsia="zh-CN"/>
        </w:rPr>
      </w:pPr>
    </w:p>
    <w:p w14:paraId="7F0BB5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《乳源瑶族自治县声环境功能区划方案（修订版）（第二次征求意见稿）》起草说明</w:t>
      </w:r>
    </w:p>
    <w:p w14:paraId="53C9B4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77C7AF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一、区划起草背景</w:t>
      </w:r>
    </w:p>
    <w:p w14:paraId="48E52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《乳源瑶族自治县国土空间总体规划（2021-2035年）》已取得广东省人民政府正式批复（粤府函〔2023〕289号），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由于中心城区国土空间总体规划与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乳源瑶族自治县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城市总体规划（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0年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在中心城区范围、土地利用及城市综合交通等规划方面有较大的变动，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影响城市声环境质量的要素均有明显改变，现行的声环境功能区已不适应当前声环境管理工作的需求，亟需进行调整。根据《中华人民共和国环境噪声污染防治法》、《声环境质量标准》（GB3096-2008）的有关规定，以《声环境功能区划分技术规范》（GB/T15190-2014）为依据，结合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乳源瑶族自治县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国土空间总体规划（202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-2035年）》和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中心城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区的实际情况，并参考城市环境噪声管理有关的要求，对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乳源瑶族自治县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中心城区规划范围内的声环境质量功能区划进行调整划分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以适应城市发展和保障市民享有良好的声环境的需要。</w:t>
      </w:r>
    </w:p>
    <w:p w14:paraId="52CA8F82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bookmarkStart w:id="0" w:name="_Toc3056"/>
      <w:bookmarkStart w:id="1" w:name="_Toc8447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二、区划依据</w:t>
      </w:r>
      <w:bookmarkEnd w:id="0"/>
      <w:bookmarkEnd w:id="1"/>
    </w:p>
    <w:p w14:paraId="70396341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bookmarkStart w:id="2" w:name="_Toc31794"/>
      <w:bookmarkStart w:id="3" w:name="_Toc29495"/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法律法规</w:t>
      </w:r>
      <w:bookmarkEnd w:id="2"/>
      <w:bookmarkEnd w:id="3"/>
    </w:p>
    <w:p w14:paraId="3100320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textAlignment w:val="auto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《中华人民共和国环境保护法》；</w:t>
      </w:r>
    </w:p>
    <w:p w14:paraId="486B7B7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textAlignment w:val="auto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《中华人民共和国噪声污染防治法》；</w:t>
      </w:r>
    </w:p>
    <w:p w14:paraId="40813D4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textAlignment w:val="auto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《广东省环境保护条例》；</w:t>
      </w:r>
    </w:p>
    <w:p w14:paraId="151C1A0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textAlignment w:val="auto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《铁路运输安全保护条例》；</w:t>
      </w:r>
    </w:p>
    <w:p w14:paraId="59964C5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textAlignment w:val="auto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《广东省高速公路管理条例（修正）》；</w:t>
      </w:r>
    </w:p>
    <w:p w14:paraId="32E82D1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textAlignment w:val="auto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《关于加强和规范声环境功能区划分管理工作的通知》（环办大气函〔2017〕1709号）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；</w:t>
      </w:r>
    </w:p>
    <w:p w14:paraId="54D917B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textAlignment w:val="auto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声环境功能区划分情况评估工作方案》(环办便函〔2023〕98号）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；</w:t>
      </w:r>
    </w:p>
    <w:p w14:paraId="39362F1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textAlignment w:val="auto"/>
        <w:rPr>
          <w:rFonts w:eastAsia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加强噪声监测工作的意见》（环办监测〔2023〕2号）</w:t>
      </w:r>
      <w:r>
        <w:rPr>
          <w:rFonts w:hint="eastAsia" w:eastAsia="仿宋"/>
          <w:color w:val="auto"/>
          <w:sz w:val="32"/>
          <w:szCs w:val="32"/>
          <w:lang w:eastAsia="zh-CN"/>
        </w:rPr>
        <w:t>。</w:t>
      </w:r>
    </w:p>
    <w:p w14:paraId="6E4266EE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bookmarkStart w:id="4" w:name="_Toc21676"/>
      <w:bookmarkStart w:id="5" w:name="_Toc26299"/>
      <w:bookmarkStart w:id="6" w:name="_Toc14083"/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相关标准和技术规范</w:t>
      </w:r>
      <w:bookmarkEnd w:id="4"/>
      <w:bookmarkEnd w:id="5"/>
      <w:bookmarkEnd w:id="6"/>
    </w:p>
    <w:p w14:paraId="1BFC61F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《声环境质量标准》（GB3096-2008）；</w:t>
      </w:r>
    </w:p>
    <w:p w14:paraId="0A8AC4A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《声环境功能区划分技术规范》（GB/T15190-2014）；</w:t>
      </w:r>
    </w:p>
    <w:p w14:paraId="04BDC1B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《铁路边界噪声限值及其测量方法》（GB12525-90）；</w:t>
      </w:r>
    </w:p>
    <w:p w14:paraId="5D32AC7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《城市用地分类与规划建设用地标准》（GB50137-2011）；</w:t>
      </w:r>
    </w:p>
    <w:p w14:paraId="773B940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《国土空间调查、规划、用途管制用地用海分类指南（试行）》（自然资办发[2020]51 号）》；</w:t>
      </w:r>
    </w:p>
    <w:p w14:paraId="40BED49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广东省国土空间规划数据治理指南（试行）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》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。</w:t>
      </w:r>
    </w:p>
    <w:p w14:paraId="340313F9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bookmarkStart w:id="7" w:name="_Toc14160"/>
      <w:bookmarkStart w:id="8" w:name="_Toc21873"/>
      <w:bookmarkStart w:id="9" w:name="_Toc4272"/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相关规划</w:t>
      </w:r>
      <w:bookmarkEnd w:id="7"/>
      <w:bookmarkEnd w:id="8"/>
      <w:bookmarkEnd w:id="9"/>
    </w:p>
    <w:p w14:paraId="16C0733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乳源瑶族自治县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国土空间总体规划（2021-2035年）》；</w:t>
      </w:r>
    </w:p>
    <w:p w14:paraId="55FC174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rightChars="0"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乳源瑶族自治县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声环境功能区划方案（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乳府办〔2023〕3号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》。</w:t>
      </w:r>
    </w:p>
    <w:p w14:paraId="0580E652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bookmarkStart w:id="10" w:name="_Toc12577"/>
      <w:bookmarkStart w:id="11" w:name="_Toc223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三、区划原则</w:t>
      </w:r>
      <w:bookmarkEnd w:id="10"/>
      <w:bookmarkEnd w:id="11"/>
    </w:p>
    <w:p w14:paraId="000C9033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（1）有效控制噪声污染的程度和范围，提高声环境质量，保障居民正常的生活、学习和工作场所的安静。</w:t>
      </w:r>
    </w:p>
    <w:p w14:paraId="4195F1CE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中心城区国土空间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总体规划为指导，重点考虑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区域规划用地的主导功能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和用地现状，按照规划用地性质、用地现状、声环境质量现状和现状声环境功能区，科学划定声环境功能类别。</w:t>
      </w:r>
    </w:p>
    <w:p w14:paraId="633B5E11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（3）遵循城乡建设和发展的客观规律，因地制宜，统筹兼顾，综合部署，有利于环境噪声管理和促进噪声治理。</w:t>
      </w:r>
    </w:p>
    <w:p w14:paraId="269D0392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（4）依据区划方法确定各个区划单元的声环境功能区类别，用地现状与城市总体规划用途相差较大的区域，以用地现状作为依据。对相同类型区划单元，声环境功能区类别应保持一致。</w:t>
      </w:r>
    </w:p>
    <w:p w14:paraId="6B0B3B1C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（5）交通干线建设规划未实施前按照当前声环境功能区类别管理，规划实施后实时调整为4类区。</w:t>
      </w:r>
    </w:p>
    <w:p w14:paraId="3F57F4BE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（6）城市区域声环境功能区划分要充分考虑城市生态性原则、经济性原则和可持续发展原则，充分利用城市行政区划及自然地貌，有利于城市规划的实施。</w:t>
      </w:r>
    </w:p>
    <w:p w14:paraId="06F14F67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（7）城市区域声环境功能区划分坚持以宏观控制为主，宜粗不宜细，宜大不宜小。</w:t>
      </w:r>
    </w:p>
    <w:p w14:paraId="1CE3B645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四、区划技术说明</w:t>
      </w:r>
    </w:p>
    <w:p w14:paraId="0382B06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640" w:firstLineChars="200"/>
        <w:jc w:val="left"/>
        <w:textAlignment w:val="auto"/>
        <w:rPr>
          <w:rFonts w:eastAsia="仿宋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声环境功能区划定以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中心城区国土空间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总体规划为指导，重点考虑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区域规划用地的主导功能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和用地现状，按照规划用地性质、用地现状、声环境质量现状和现状声环境功能区，科学划定声环境功能类别。以中心城区土地利用规划（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）为主要依据，对与规划目标相差较大的区域，实地调研后，以用地现状作为区划的主要依据，随着城市规划的逐步实现，按每5年调整一次的频率及时调整声环境功能区；未建成的规划区内，按其规划性质或按区域声环境质量现状，结合可能的发展划定区域类型。本次声环境功能划定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中心城区国土空间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总体规划为基础，结合实际情况划定声环境功能区范围和类别，随着城市发展，及时修订或调整声环境功能区划，符合城市发展的规律，与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中心城区国土空间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总体规划协调一致。</w:t>
      </w:r>
    </w:p>
    <w:p w14:paraId="1DA42D1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rightChars="0" w:firstLine="420" w:firstLineChars="200"/>
        <w:jc w:val="left"/>
        <w:textAlignment w:val="auto"/>
        <w:rPr>
          <w:rFonts w:hint="eastAsia"/>
          <w:lang w:val="en-US" w:eastAsia="zh-CN"/>
        </w:rPr>
      </w:pPr>
      <w:bookmarkStart w:id="12" w:name="_GoBack"/>
      <w:bookmarkEnd w:id="12"/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A4FD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94580D"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94580D"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15E68"/>
    <w:multiLevelType w:val="multilevel"/>
    <w:tmpl w:val="0D715E68"/>
    <w:lvl w:ilvl="0" w:tentative="0">
      <w:start w:val="1"/>
      <w:numFmt w:val="chineseCountingThousand"/>
      <w:pStyle w:val="4"/>
      <w:lvlText w:val="(%1)"/>
      <w:lvlJc w:val="left"/>
      <w:pPr>
        <w:ind w:left="78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">
    <w:nsid w:val="387C28C3"/>
    <w:multiLevelType w:val="multilevel"/>
    <w:tmpl w:val="387C28C3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700"/>
        </w:tabs>
        <w:ind w:left="7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120"/>
        </w:tabs>
        <w:ind w:left="1120" w:hanging="420"/>
      </w:pPr>
    </w:lvl>
    <w:lvl w:ilvl="3" w:tentative="0">
      <w:start w:val="1"/>
      <w:numFmt w:val="decimal"/>
      <w:lvlText w:val="%4."/>
      <w:lvlJc w:val="left"/>
      <w:pPr>
        <w:tabs>
          <w:tab w:val="left" w:pos="1540"/>
        </w:tabs>
        <w:ind w:left="15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960"/>
        </w:tabs>
        <w:ind w:left="19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380"/>
        </w:tabs>
        <w:ind w:left="2380" w:hanging="420"/>
      </w:pPr>
    </w:lvl>
    <w:lvl w:ilvl="6" w:tentative="0">
      <w:start w:val="1"/>
      <w:numFmt w:val="decimal"/>
      <w:lvlText w:val="%7."/>
      <w:lvlJc w:val="left"/>
      <w:pPr>
        <w:tabs>
          <w:tab w:val="left" w:pos="2800"/>
        </w:tabs>
        <w:ind w:left="28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220"/>
        </w:tabs>
        <w:ind w:left="32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640"/>
        </w:tabs>
        <w:ind w:left="3640" w:hanging="420"/>
      </w:pPr>
    </w:lvl>
  </w:abstractNum>
  <w:abstractNum w:abstractNumId="2">
    <w:nsid w:val="5DFF44B0"/>
    <w:multiLevelType w:val="multilevel"/>
    <w:tmpl w:val="5DFF44B0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decimal"/>
      <w:lvlText w:val="(%2)"/>
      <w:lvlJc w:val="left"/>
      <w:pPr>
        <w:tabs>
          <w:tab w:val="left" w:pos="700"/>
        </w:tabs>
        <w:ind w:left="7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20"/>
        </w:tabs>
        <w:ind w:left="1120" w:hanging="420"/>
      </w:pPr>
    </w:lvl>
    <w:lvl w:ilvl="3" w:tentative="0">
      <w:start w:val="1"/>
      <w:numFmt w:val="decimal"/>
      <w:lvlText w:val="%4."/>
      <w:lvlJc w:val="left"/>
      <w:pPr>
        <w:tabs>
          <w:tab w:val="left" w:pos="1540"/>
        </w:tabs>
        <w:ind w:left="15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960"/>
        </w:tabs>
        <w:ind w:left="19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380"/>
        </w:tabs>
        <w:ind w:left="2380" w:hanging="420"/>
      </w:pPr>
    </w:lvl>
    <w:lvl w:ilvl="6" w:tentative="0">
      <w:start w:val="1"/>
      <w:numFmt w:val="decimal"/>
      <w:lvlText w:val="%7."/>
      <w:lvlJc w:val="left"/>
      <w:pPr>
        <w:tabs>
          <w:tab w:val="left" w:pos="2800"/>
        </w:tabs>
        <w:ind w:left="28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220"/>
        </w:tabs>
        <w:ind w:left="32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640"/>
        </w:tabs>
        <w:ind w:left="3640" w:hanging="420"/>
      </w:pPr>
    </w:lvl>
  </w:abstractNum>
  <w:abstractNum w:abstractNumId="3">
    <w:nsid w:val="6F9F7AE2"/>
    <w:multiLevelType w:val="multilevel"/>
    <w:tmpl w:val="6F9F7AE2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tabs>
          <w:tab w:val="left" w:pos="1000"/>
        </w:tabs>
        <w:ind w:left="100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120"/>
        </w:tabs>
        <w:ind w:left="1120" w:hanging="420"/>
      </w:pPr>
    </w:lvl>
    <w:lvl w:ilvl="3" w:tentative="0">
      <w:start w:val="1"/>
      <w:numFmt w:val="decimal"/>
      <w:lvlText w:val="%4."/>
      <w:lvlJc w:val="left"/>
      <w:pPr>
        <w:tabs>
          <w:tab w:val="left" w:pos="1540"/>
        </w:tabs>
        <w:ind w:left="15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960"/>
        </w:tabs>
        <w:ind w:left="19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380"/>
        </w:tabs>
        <w:ind w:left="2380" w:hanging="420"/>
      </w:pPr>
    </w:lvl>
    <w:lvl w:ilvl="6" w:tentative="0">
      <w:start w:val="1"/>
      <w:numFmt w:val="decimal"/>
      <w:lvlText w:val="%7."/>
      <w:lvlJc w:val="left"/>
      <w:pPr>
        <w:tabs>
          <w:tab w:val="left" w:pos="2800"/>
        </w:tabs>
        <w:ind w:left="28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220"/>
        </w:tabs>
        <w:ind w:left="32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640"/>
        </w:tabs>
        <w:ind w:left="36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GYzNTIyZWQzYjQ3NjEwNjNjOGQ1YmZkZjA1NDEifQ=="/>
  </w:docVars>
  <w:rsids>
    <w:rsidRoot w:val="736D4E79"/>
    <w:rsid w:val="04550B63"/>
    <w:rsid w:val="0AE61DC4"/>
    <w:rsid w:val="0B5C5BE2"/>
    <w:rsid w:val="0B973E91"/>
    <w:rsid w:val="11036AF6"/>
    <w:rsid w:val="134D130F"/>
    <w:rsid w:val="135B5D51"/>
    <w:rsid w:val="178209FA"/>
    <w:rsid w:val="19383B62"/>
    <w:rsid w:val="1C4A18D8"/>
    <w:rsid w:val="1F720C23"/>
    <w:rsid w:val="204A3B16"/>
    <w:rsid w:val="21B037EE"/>
    <w:rsid w:val="22893F69"/>
    <w:rsid w:val="2BE52487"/>
    <w:rsid w:val="2DBE5027"/>
    <w:rsid w:val="33022C64"/>
    <w:rsid w:val="37B4116F"/>
    <w:rsid w:val="3A2A021E"/>
    <w:rsid w:val="3AAB6C4F"/>
    <w:rsid w:val="3DEC38A8"/>
    <w:rsid w:val="3E8F1850"/>
    <w:rsid w:val="3EAA0624"/>
    <w:rsid w:val="3F83115D"/>
    <w:rsid w:val="40222DFF"/>
    <w:rsid w:val="45A52139"/>
    <w:rsid w:val="4F791EF0"/>
    <w:rsid w:val="545D4AA3"/>
    <w:rsid w:val="548E0C37"/>
    <w:rsid w:val="57541BF2"/>
    <w:rsid w:val="59464DA9"/>
    <w:rsid w:val="5B336205"/>
    <w:rsid w:val="5DC25383"/>
    <w:rsid w:val="606C00AE"/>
    <w:rsid w:val="63E47698"/>
    <w:rsid w:val="67C14C80"/>
    <w:rsid w:val="68C33D20"/>
    <w:rsid w:val="690B47A2"/>
    <w:rsid w:val="6ACC66C6"/>
    <w:rsid w:val="6BD80588"/>
    <w:rsid w:val="6C236C77"/>
    <w:rsid w:val="72F8122F"/>
    <w:rsid w:val="736D4E79"/>
    <w:rsid w:val="75482501"/>
    <w:rsid w:val="7C99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spacing w:line="592" w:lineRule="exact"/>
      <w:outlineLvl w:val="1"/>
    </w:pPr>
    <w:rPr>
      <w:rFonts w:eastAsia="仿宋_GB2312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3"/>
    <w:qFormat/>
    <w:uiPriority w:val="0"/>
    <w:pPr>
      <w:spacing w:line="500" w:lineRule="exact"/>
      <w:ind w:right="26" w:rightChars="8" w:firstLine="640"/>
    </w:pPr>
    <w:rPr>
      <w:rFonts w:ascii="楷体_GB2312" w:hAnsi="Times New Roman" w:eastAsia="楷体_GB2312"/>
      <w:szCs w:val="32"/>
    </w:rPr>
  </w:style>
  <w:style w:type="paragraph" w:customStyle="1" w:styleId="3">
    <w:name w:val="正文 New New New New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  <w:ind w:rightChars="-376"/>
    </w:pPr>
    <w:rPr>
      <w:szCs w:val="2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ind w:rightChars="-376"/>
      <w:jc w:val="left"/>
    </w:pPr>
    <w:rPr>
      <w:rFonts w:ascii="宋体" w:hAnsi="宋体"/>
      <w:kern w:val="0"/>
      <w:sz w:val="24"/>
    </w:rPr>
  </w:style>
  <w:style w:type="paragraph" w:customStyle="1" w:styleId="12">
    <w:name w:val="_Style 1"/>
    <w:basedOn w:val="1"/>
    <w:next w:val="1"/>
    <w:qFormat/>
    <w:uiPriority w:val="0"/>
    <w:pPr>
      <w:spacing w:line="580" w:lineRule="exact"/>
      <w:ind w:firstLine="420" w:firstLineChars="200"/>
    </w:pPr>
    <w:rPr>
      <w:rFonts w:cs="Times New Roman"/>
      <w:sz w:val="32"/>
    </w:rPr>
  </w:style>
  <w:style w:type="character" w:customStyle="1" w:styleId="13">
    <w:name w:val="p51"/>
    <w:qFormat/>
    <w:uiPriority w:val="0"/>
    <w:rPr>
      <w:rFonts w:hint="eastAsia" w:ascii="ΟGB2312" w:eastAsia="ΟGB2312"/>
      <w:sz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1512</Words>
  <Characters>1639</Characters>
  <Lines>0</Lines>
  <Paragraphs>0</Paragraphs>
  <TotalTime>0</TotalTime>
  <ScaleCrop>false</ScaleCrop>
  <LinksUpToDate>false</LinksUpToDate>
  <CharactersWithSpaces>1640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2022-09-23T00:35:00Z</dcterms:created>
  <dc:creator>蒙证尹</dc:creator>
  <cp:lastModifiedBy>炎阳天</cp:lastModifiedBy>
  <dcterms:modified xsi:type="dcterms:W3CDTF">2025-05-27T01:27:48Z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EC4D981078EB4A8FB1E9BD3CCDDC347B</vt:lpwstr>
  </property>
  <property fmtid="{D5CDD505-2E9C-101B-9397-08002B2CF9AE}" pid="4" name="KSOTemplateDocerSaveRecord">
    <vt:lpwstr>eyJoZGlkIjoiMjU4MGYzNTIyZWQzYjQ3NjEwNjNjOGQ1YmZkZjA1NDEiLCJ1c2VySWQiOiIzMjI5MjA3NzYifQ==</vt:lpwstr>
  </property>
</Properties>
</file>