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eastAsia="宋体" w:cs="宋体"/>
          <w:sz w:val="36"/>
          <w:szCs w:val="36"/>
        </w:rPr>
        <w:t>劳动保障监察工作经费</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4个，分别是乳源瑶族自治县自治县人才管理工作办公室、乳源瑶族自治县劳动人事争议仲裁院、乳源瑶族自治县就业服务管理局和乳源瑶族自治县职业技能服务中心。</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Times New Roman" w:eastAsia="仿宋_GB2312" w:cs="Times New Roman"/>
          <w:kern w:val="2"/>
          <w:sz w:val="32"/>
          <w:szCs w:val="32"/>
          <w:lang w:val="en-US" w:eastAsia="zh-CN" w:bidi="ar-SA"/>
        </w:rPr>
        <w:t>（二）</w:t>
      </w:r>
      <w:r>
        <w:rPr>
          <w:rFonts w:hint="eastAsia" w:ascii="仿宋_GB2312" w:eastAsia="仿宋_GB2312"/>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方正仿宋简体" w:hAnsi="方正仿宋简体" w:eastAsia="方正仿宋简体" w:cs="方正仿宋简体"/>
          <w:sz w:val="32"/>
          <w:szCs w:val="32"/>
        </w:rPr>
        <w:t>项目主要内容是执行劳动关系政策，完善劳动关系协调机制，制定禁止非法使用童工政策和女工、未成年工的特殊劳动保护政策，组织实施劳动监察，</w:t>
      </w:r>
      <w:r>
        <w:rPr>
          <w:rFonts w:hint="eastAsia" w:ascii="方正仿宋简体" w:hAnsi="方正仿宋简体" w:eastAsia="方正仿宋简体" w:cs="方正仿宋简体"/>
          <w:sz w:val="32"/>
          <w:szCs w:val="32"/>
          <w:lang w:eastAsia="zh-CN"/>
        </w:rPr>
        <w:t>检查各项劳动保障监察制度和</w:t>
      </w:r>
      <w:r>
        <w:rPr>
          <w:rFonts w:hint="eastAsia" w:ascii="方正仿宋简体" w:hAnsi="方正仿宋简体" w:eastAsia="方正仿宋简体" w:cs="方正仿宋简体"/>
          <w:sz w:val="32"/>
          <w:szCs w:val="32"/>
          <w:lang w:val="en-US" w:eastAsia="zh-CN"/>
        </w:rPr>
        <w:t>保障农民工工资支付有关制度</w:t>
      </w:r>
      <w:r>
        <w:rPr>
          <w:rFonts w:hint="eastAsia" w:ascii="方正仿宋简体" w:hAnsi="方正仿宋简体" w:eastAsia="方正仿宋简体" w:cs="方正仿宋简体"/>
          <w:sz w:val="32"/>
          <w:szCs w:val="32"/>
          <w:lang w:eastAsia="zh-CN"/>
        </w:rPr>
        <w:t>的落实情况</w:t>
      </w:r>
      <w:r>
        <w:rPr>
          <w:rFonts w:hint="eastAsia" w:ascii="方正仿宋简体" w:hAnsi="方正仿宋简体" w:eastAsia="方正仿宋简体" w:cs="方正仿宋简体"/>
          <w:sz w:val="32"/>
          <w:szCs w:val="32"/>
          <w:lang w:val="en-US" w:eastAsia="zh-CN"/>
        </w:rPr>
        <w:t>，开展集中整治拖欠农民工工资问题专项行动、根治欠薪夏季行动、清理整顿人力资源市场秩序专项执法行动等工作，</w:t>
      </w:r>
      <w:r>
        <w:rPr>
          <w:rFonts w:hint="eastAsia" w:ascii="方正仿宋简体" w:hAnsi="方正仿宋简体" w:eastAsia="方正仿宋简体" w:cs="方正仿宋简体"/>
          <w:sz w:val="32"/>
          <w:szCs w:val="32"/>
        </w:rPr>
        <w:t>协调劳动者维权工作，依法查处重大案件，有效维护劳动者的合法权益。</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方正仿宋简体" w:hAnsi="方正仿宋简体" w:eastAsia="方正仿宋简体" w:cs="方正仿宋简体"/>
          <w:sz w:val="32"/>
          <w:szCs w:val="32"/>
        </w:rPr>
        <w:t>自评优秀，分数</w:t>
      </w:r>
      <w:r>
        <w:rPr>
          <w:rFonts w:hint="eastAsia" w:ascii="方正仿宋简体" w:hAnsi="方正仿宋简体" w:eastAsia="方正仿宋简体" w:cs="方正仿宋简体"/>
          <w:sz w:val="32"/>
          <w:szCs w:val="32"/>
          <w:lang w:val="en-US" w:eastAsia="zh-CN"/>
        </w:rPr>
        <w:t>98</w:t>
      </w:r>
      <w:r>
        <w:rPr>
          <w:rFonts w:hint="eastAsia" w:ascii="方正仿宋简体" w:hAnsi="方正仿宋简体" w:eastAsia="方正仿宋简体" w:cs="方正仿宋简体"/>
          <w:sz w:val="32"/>
          <w:szCs w:val="32"/>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sz w:val="32"/>
          <w:szCs w:val="32"/>
        </w:rPr>
      </w:pPr>
      <w:r>
        <w:rPr>
          <w:rFonts w:hint="eastAsia" w:ascii="方正仿宋简体" w:hAnsi="方正仿宋简体" w:eastAsia="方正仿宋简体" w:cs="方正仿宋简体"/>
          <w:sz w:val="32"/>
          <w:szCs w:val="32"/>
        </w:rPr>
        <w:t>劳动保障监察工作经费年初预算为</w:t>
      </w:r>
      <w:r>
        <w:rPr>
          <w:rFonts w:hint="eastAsia" w:ascii="方正仿宋简体" w:hAnsi="方正仿宋简体" w:eastAsia="方正仿宋简体" w:cs="方正仿宋简体"/>
          <w:sz w:val="32"/>
          <w:szCs w:val="32"/>
          <w:lang w:val="en-US" w:eastAsia="zh-CN"/>
        </w:rPr>
        <w:t>10000</w:t>
      </w:r>
      <w:r>
        <w:rPr>
          <w:rFonts w:hint="eastAsia" w:ascii="方正仿宋简体" w:hAnsi="方正仿宋简体" w:eastAsia="方正仿宋简体" w:cs="方正仿宋简体"/>
          <w:sz w:val="32"/>
          <w:szCs w:val="32"/>
        </w:rPr>
        <w:t>元，总支出 9929.67元。</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Times New Roman"/>
          <w:kern w:val="2"/>
          <w:sz w:val="32"/>
          <w:szCs w:val="32"/>
          <w:lang w:val="en-US" w:eastAsia="zh-CN" w:bidi="ar-SA"/>
        </w:rPr>
        <w:t>2、</w:t>
      </w:r>
      <w:r>
        <w:rPr>
          <w:rFonts w:hint="eastAsia" w:ascii="仿宋_GB2312" w:hAnsi="仿宋_GB2312" w:eastAsia="仿宋_GB2312"/>
          <w:sz w:val="32"/>
          <w:szCs w:val="32"/>
        </w:rPr>
        <w:t>项目资金实际支出情况。</w:t>
      </w:r>
    </w:p>
    <w:p>
      <w:pPr>
        <w:numPr>
          <w:ilvl w:val="0"/>
          <w:numId w:val="0"/>
        </w:numPr>
        <w:spacing w:line="360" w:lineRule="auto"/>
        <w:ind w:firstLine="640" w:firstLineChars="200"/>
        <w:rPr>
          <w:rFonts w:hint="eastAsia" w:ascii="仿宋_GB2312" w:hAnsi="仿宋_GB2312" w:eastAsia="仿宋_GB2312"/>
          <w:sz w:val="32"/>
          <w:szCs w:val="32"/>
          <w:highlight w:val="none"/>
        </w:rPr>
      </w:pPr>
      <w:r>
        <w:rPr>
          <w:rFonts w:hint="eastAsia" w:ascii="方正仿宋简体" w:hAnsi="方正仿宋简体" w:eastAsia="方正仿宋简体" w:cs="方正仿宋简体"/>
          <w:sz w:val="32"/>
          <w:szCs w:val="32"/>
          <w:highlight w:val="none"/>
        </w:rPr>
        <w:t>劳动保障监察工作经费</w:t>
      </w:r>
      <w:r>
        <w:rPr>
          <w:rFonts w:hint="eastAsia" w:ascii="方正仿宋简体" w:hAnsi="方正仿宋简体" w:eastAsia="方正仿宋简体" w:cs="方正仿宋简体"/>
          <w:sz w:val="32"/>
          <w:szCs w:val="32"/>
          <w:highlight w:val="none"/>
          <w:lang w:eastAsia="zh-CN"/>
        </w:rPr>
        <w:t>实际支出</w:t>
      </w:r>
      <w:r>
        <w:rPr>
          <w:rFonts w:hint="eastAsia" w:ascii="方正仿宋简体" w:hAnsi="方正仿宋简体" w:eastAsia="方正仿宋简体" w:cs="方正仿宋简体"/>
          <w:sz w:val="32"/>
          <w:szCs w:val="32"/>
          <w:highlight w:val="none"/>
        </w:rPr>
        <w:t>9929.67</w:t>
      </w:r>
      <w:r>
        <w:rPr>
          <w:rFonts w:hint="eastAsia" w:ascii="方正仿宋简体" w:hAnsi="方正仿宋简体" w:eastAsia="方正仿宋简体" w:cs="方正仿宋简体"/>
          <w:sz w:val="32"/>
          <w:szCs w:val="32"/>
          <w:highlight w:val="none"/>
          <w:lang w:eastAsia="zh-CN"/>
        </w:rPr>
        <w:t>元，</w:t>
      </w:r>
      <w:r>
        <w:rPr>
          <w:rFonts w:hint="eastAsia" w:ascii="方正仿宋简体" w:hAnsi="方正仿宋简体" w:eastAsia="方正仿宋简体" w:cs="方正仿宋简体"/>
          <w:sz w:val="32"/>
          <w:szCs w:val="32"/>
          <w:highlight w:val="none"/>
        </w:rPr>
        <w:t>主要用于</w:t>
      </w:r>
      <w:r>
        <w:rPr>
          <w:rFonts w:hint="eastAsia" w:ascii="方正仿宋简体" w:hAnsi="方正仿宋简体" w:eastAsia="方正仿宋简体" w:cs="方正仿宋简体"/>
          <w:sz w:val="32"/>
          <w:szCs w:val="32"/>
          <w:highlight w:val="none"/>
          <w:lang w:eastAsia="zh-CN"/>
        </w:rPr>
        <w:t>开展劳动保障监察执法及日常工作支出。</w:t>
      </w:r>
      <w:r>
        <w:rPr>
          <w:rFonts w:hint="eastAsia" w:ascii="方正仿宋简体" w:hAnsi="方正仿宋简体" w:eastAsia="方正仿宋简体" w:cs="方正仿宋简体"/>
          <w:color w:val="000000"/>
          <w:sz w:val="32"/>
          <w:szCs w:val="32"/>
          <w:highlight w:val="none"/>
          <w:lang w:eastAsia="zh-CN"/>
        </w:rPr>
        <w:t>其中印制考核资料</w:t>
      </w:r>
      <w:r>
        <w:rPr>
          <w:rFonts w:hint="eastAsia" w:ascii="方正仿宋简体" w:hAnsi="方正仿宋简体" w:eastAsia="方正仿宋简体" w:cs="方正仿宋简体"/>
          <w:color w:val="000000"/>
          <w:sz w:val="32"/>
          <w:szCs w:val="32"/>
          <w:highlight w:val="none"/>
          <w:lang w:val="en-US" w:eastAsia="zh-CN"/>
        </w:rPr>
        <w:t>1921.4元，外出交叉检查差旅费4092元，参加监察员培训差旅费2711.5元，农民工工资专户转账手续费1204.77元。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numPr>
          <w:ilvl w:val="0"/>
          <w:numId w:val="0"/>
        </w:numPr>
        <w:spacing w:line="360" w:lineRule="auto"/>
        <w:ind w:firstLine="640" w:firstLineChars="200"/>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检查用人单位用工</w:t>
      </w:r>
      <w:r>
        <w:rPr>
          <w:rFonts w:hint="eastAsia" w:ascii="方正仿宋简体" w:hAnsi="方正仿宋简体" w:eastAsia="方正仿宋简体" w:cs="方正仿宋简体"/>
          <w:sz w:val="32"/>
          <w:szCs w:val="32"/>
          <w:lang w:val="en-US" w:eastAsia="zh-CN"/>
        </w:rPr>
        <w:t>45次，挽回劳动者经济损失约550万元。</w:t>
      </w:r>
      <w:r>
        <w:rPr>
          <w:rFonts w:hint="eastAsia" w:ascii="仿宋_GB2312" w:hAnsi="仿宋_GB2312" w:eastAsia="仿宋_GB2312" w:cs="仿宋_GB2312"/>
          <w:color w:val="auto"/>
          <w:kern w:val="2"/>
          <w:sz w:val="32"/>
          <w:szCs w:val="32"/>
          <w:lang w:val="en-US" w:eastAsia="zh-CN" w:bidi="ar-SA"/>
        </w:rPr>
        <w:t>劳动保障监察举报投诉案件结案率96%（市下达任务96%）,拖欠农民工工资举报投诉案件结案率98%（市下达任务98%）</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w:t>
      </w:r>
      <w:bookmarkStart w:id="0" w:name="_GoBack"/>
      <w:bookmarkEnd w:id="0"/>
      <w:r>
        <w:rPr>
          <w:rFonts w:hint="eastAsia" w:ascii="仿宋_GB2312" w:hAns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经济效益指标：</w:t>
      </w:r>
      <w:r>
        <w:rPr>
          <w:rFonts w:hint="eastAsia" w:ascii="方正仿宋简体" w:hAnsi="方正仿宋简体" w:eastAsia="方正仿宋简体" w:cs="方正仿宋简体"/>
          <w:sz w:val="32"/>
          <w:szCs w:val="32"/>
          <w:lang w:val="en-US" w:eastAsia="zh-CN"/>
        </w:rPr>
        <w:t>挽回劳动者经济损失约550万元。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社会效益指标：促进劳动法律法规实施，维护劳动关系双方合格权益，保障了农民工切身利益。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sz w:val="32"/>
          <w:szCs w:val="32"/>
        </w:rPr>
      </w:pPr>
      <w:r>
        <w:rPr>
          <w:rFonts w:hint="eastAsia" w:ascii="方正仿宋简体" w:hAnsi="方正仿宋简体" w:eastAsia="方正仿宋简体" w:cs="方正仿宋简体"/>
          <w:sz w:val="32"/>
          <w:szCs w:val="32"/>
        </w:rPr>
        <w:t>可持续影响指标：维持全县和谐稳定，减少社会不稳定因素</w:t>
      </w:r>
      <w:r>
        <w:rPr>
          <w:rFonts w:hint="eastAsia" w:ascii="方正仿宋简体" w:hAnsi="方正仿宋简体" w:eastAsia="方正仿宋简体" w:cs="方正仿宋简体"/>
          <w:sz w:val="32"/>
          <w:szCs w:val="32"/>
          <w:lang w:eastAsia="zh-CN"/>
        </w:rPr>
        <w:t>。</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楷体_GB2312" w:hAnsi="楷体_GB2312" w:eastAsia="楷体_GB2312" w:cs="楷体_GB2312"/>
          <w:sz w:val="32"/>
          <w:szCs w:val="32"/>
          <w:highlight w:val="none"/>
          <w:lang w:val="en-US" w:eastAsia="zh-CN"/>
        </w:rPr>
        <w:t>1、在建项目实名制管理不够规范。</w:t>
      </w:r>
      <w:r>
        <w:rPr>
          <w:rFonts w:hint="eastAsia" w:ascii="仿宋_GB2312" w:hAnsi="仿宋_GB2312" w:eastAsia="仿宋_GB2312" w:cs="仿宋_GB2312"/>
          <w:b w:val="0"/>
          <w:bCs w:val="0"/>
          <w:color w:val="auto"/>
          <w:sz w:val="32"/>
          <w:szCs w:val="32"/>
          <w:highlight w:val="none"/>
          <w:lang w:val="en-US" w:eastAsia="zh-CN"/>
        </w:rPr>
        <w:t>个别施工单位实名制管理不严、工人工资支付分账制度落实不到位，工人工资、工程款一并拨付导致截留农民工工资情形。个别案件存在违法分包、转包，引起结算纠纷、工程超量等导致拖欠工人工资情形。</w:t>
      </w:r>
    </w:p>
    <w:p>
      <w:pPr>
        <w:keepNext w:val="0"/>
        <w:keepLines w:val="0"/>
        <w:pageBreakBefore w:val="0"/>
        <w:widowControl/>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楷体_GB2312" w:hAnsi="楷体_GB2312" w:eastAsia="楷体_GB2312" w:cs="楷体_GB2312"/>
          <w:sz w:val="32"/>
          <w:szCs w:val="32"/>
          <w:highlight w:val="none"/>
          <w:lang w:val="en-US" w:eastAsia="zh-CN"/>
        </w:rPr>
        <w:t>2、合同缺陷引发工资结算问题。</w:t>
      </w:r>
      <w:r>
        <w:rPr>
          <w:rFonts w:hint="eastAsia" w:ascii="仿宋_GB2312" w:hAnsi="仿宋_GB2312" w:eastAsia="仿宋_GB2312" w:cs="仿宋_GB2312"/>
          <w:b w:val="0"/>
          <w:bCs w:val="0"/>
          <w:color w:val="auto"/>
          <w:sz w:val="32"/>
          <w:szCs w:val="32"/>
          <w:highlight w:val="none"/>
          <w:lang w:val="en-US" w:eastAsia="zh-CN"/>
        </w:rPr>
        <w:t>建设单位与施工单位承包合同不规范，结算约定存在缺陷，工程量结算时容易产生分歧，发包方与承包方之间相互推诿扯皮；劳动合同约定的工资结算方式为计量计价，工资发放时，因工程质量验收等问题无法及时核定工作量和实际工资金额，存在不能足额支付农民工工资的风险。</w:t>
      </w:r>
    </w:p>
    <w:p>
      <w:pPr>
        <w:topLinePunct/>
        <w:spacing w:line="560" w:lineRule="exact"/>
        <w:ind w:firstLine="640" w:firstLineChars="200"/>
        <w:jc w:val="both"/>
        <w:rPr>
          <w:rFonts w:hint="eastAsia" w:ascii="仿宋_GB2312" w:eastAsia="仿宋_GB2312"/>
          <w:sz w:val="32"/>
          <w:szCs w:val="32"/>
        </w:rPr>
      </w:pPr>
      <w:r>
        <w:rPr>
          <w:rFonts w:hint="eastAsia" w:ascii="楷体_GB2312" w:hAnsi="楷体_GB2312" w:eastAsia="楷体_GB2312" w:cs="楷体_GB2312"/>
          <w:sz w:val="32"/>
          <w:szCs w:val="32"/>
          <w:highlight w:val="none"/>
          <w:lang w:val="en-US" w:eastAsia="zh-CN"/>
        </w:rPr>
        <w:t>3、政府投资项目资金拨付不到位问题。</w:t>
      </w:r>
      <w:r>
        <w:rPr>
          <w:rFonts w:hint="eastAsia" w:ascii="仿宋_GB2312" w:hAnsi="仿宋_GB2312" w:eastAsia="仿宋_GB2312" w:cs="仿宋_GB2312"/>
          <w:b w:val="0"/>
          <w:bCs w:val="0"/>
          <w:color w:val="auto"/>
          <w:sz w:val="32"/>
          <w:szCs w:val="32"/>
          <w:highlight w:val="none"/>
          <w:lang w:val="en-US" w:eastAsia="zh-CN"/>
        </w:rPr>
        <w:t>政府或国企投资项目存在资金不及时、不到位的情况，未能按照合同约定按时足额拨付工程款及人工费用，导致拖欠工人工资的情况时有发生，个别项目出现资金缺口也进行开工，甚至阶段性资金在还未立项审批的情况下就开始建设，配套和后期资金无法跟上，总包单位垫付能力有限，这类欠薪隐患积压下来往往呈现时间长、人数多、数额大的特点，而且容易引发层层转移的债务链。目前政府及国企投资项目欠薪投诉有较大反弹，住建、交通、市政领域等政府投资项目存在较大风险，所涉欠薪问题均呈现人数多、金额大、工人情绪不稳定等特点。</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560" w:lineRule="exact"/>
        <w:ind w:firstLine="640" w:firstLineChars="200"/>
        <w:jc w:val="both"/>
        <w:rPr>
          <w:rFonts w:hint="eastAsia" w:ascii="仿宋_GB2312" w:hAnsi="仿宋_GB2312" w:eastAsia="仿宋_GB2312" w:cs="仿宋_GB2312"/>
          <w:sz w:val="32"/>
          <w:szCs w:val="32"/>
        </w:rPr>
      </w:pPr>
      <w:r>
        <w:rPr>
          <w:rFonts w:hint="eastAsia" w:ascii="楷体_GB2312" w:hAnsi="仿宋_GB2312" w:eastAsia="楷体_GB2312" w:cs="仿宋_GB2312"/>
          <w:bCs/>
          <w:sz w:val="32"/>
          <w:szCs w:val="32"/>
        </w:rPr>
        <w:t>（一）</w:t>
      </w:r>
      <w:r>
        <w:rPr>
          <w:rFonts w:hint="eastAsia" w:ascii="方正楷体简体" w:hAnsi="方正楷体简体" w:eastAsia="方正楷体简体" w:cs="方正楷体简体"/>
          <w:i w:val="0"/>
          <w:iCs w:val="0"/>
          <w:caps w:val="0"/>
          <w:color w:val="auto"/>
          <w:spacing w:val="0"/>
          <w:kern w:val="2"/>
          <w:sz w:val="32"/>
          <w:szCs w:val="32"/>
          <w:highlight w:val="none"/>
          <w:shd w:val="clear" w:fill="FFFFFF"/>
          <w:lang w:val="en-US" w:eastAsia="zh-CN" w:bidi="ar-SA"/>
        </w:rPr>
        <w:t>强化部门监管责任</w:t>
      </w:r>
      <w:r>
        <w:rPr>
          <w:rFonts w:hint="eastAsia" w:ascii="楷体_GB2312" w:hAnsi="仿宋_GB2312" w:eastAsia="楷体_GB2312" w:cs="仿宋_GB2312"/>
          <w:bCs/>
          <w:sz w:val="32"/>
          <w:szCs w:val="32"/>
        </w:rPr>
        <w:t>。</w:t>
      </w:r>
      <w:r>
        <w:rPr>
          <w:rFonts w:hint="eastAsia" w:ascii="仿宋_GB2312" w:hAnsi="仿宋_GB2312" w:eastAsia="仿宋_GB2312" w:cs="仿宋_GB2312"/>
          <w:color w:val="auto"/>
          <w:sz w:val="32"/>
          <w:szCs w:val="32"/>
          <w:highlight w:val="none"/>
          <w:lang w:val="en-US" w:eastAsia="zh-CN"/>
        </w:rPr>
        <w:t>明确压实各有关部门监管责任，</w:t>
      </w:r>
      <w:r>
        <w:rPr>
          <w:rFonts w:hint="eastAsia" w:ascii="仿宋_GB2312" w:hAnsi="仿宋_GB2312" w:eastAsia="仿宋_GB2312" w:cs="仿宋_GB2312"/>
          <w:sz w:val="32"/>
          <w:szCs w:val="32"/>
        </w:rPr>
        <w:t>联合行业主管部门共同抓好工程项目审批、资金拨付、施工过程结算等监管，抓农民工工资专用账户、总承包企业直接发放工资、按月足额实名实人发放工资、政府工程项目零欠薪、实名制管理、劳动合同签订等核心措施的落地落实。运用行业监管手段，促进工程款和工资及时结算发放。</w:t>
      </w:r>
    </w:p>
    <w:p>
      <w:pPr>
        <w:spacing w:line="560" w:lineRule="exact"/>
        <w:ind w:firstLine="640" w:firstLineChars="200"/>
        <w:jc w:val="both"/>
        <w:rPr>
          <w:rFonts w:hint="eastAsia" w:ascii="仿宋_GB2312" w:hAnsi="仿宋_GB2312" w:eastAsia="仿宋_GB2312" w:cs="仿宋_GB2312"/>
          <w:sz w:val="32"/>
          <w:szCs w:val="32"/>
        </w:rPr>
      </w:pPr>
      <w:r>
        <w:rPr>
          <w:rFonts w:hint="eastAsia" w:ascii="楷体_GB2312" w:hAnsi="仿宋_GB2312" w:eastAsia="楷体_GB2312" w:cs="仿宋_GB2312"/>
          <w:bCs/>
          <w:sz w:val="32"/>
          <w:szCs w:val="32"/>
        </w:rPr>
        <w:t>（二）落实欠薪预警处理机制和部门应急联动机制。</w:t>
      </w:r>
      <w:r>
        <w:rPr>
          <w:rFonts w:hint="eastAsia" w:ascii="仿宋_GB2312" w:hAnsi="仿宋_GB2312" w:eastAsia="仿宋_GB2312" w:cs="仿宋_GB2312"/>
          <w:sz w:val="32"/>
          <w:szCs w:val="32"/>
        </w:rPr>
        <w:t>深入排查掌握项目和企业工资支付情况，强化分析研判，发现欠薪隐患线索及时预警并做好案件、事件防范工作；对核实涉及人数，查明真实诉求对确属欠薪的，依法从速妥善处理；对不属于欠薪的，依法做好教育引导及稳控工作，确保相关问题早发现、早通气、早核实、早处置。</w:t>
      </w:r>
    </w:p>
    <w:p>
      <w:pPr>
        <w:keepNext w:val="0"/>
        <w:keepLines w:val="0"/>
        <w:pageBreakBefore w:val="0"/>
        <w:widowControl/>
        <w:kinsoku/>
        <w:wordWrap/>
        <w:overflowPunct/>
        <w:topLinePunct/>
        <w:autoSpaceDE/>
        <w:autoSpaceDN/>
        <w:bidi w:val="0"/>
        <w:adjustRightInd/>
        <w:snapToGrid/>
        <w:spacing w:line="560" w:lineRule="exact"/>
        <w:ind w:firstLine="640" w:firstLineChars="200"/>
        <w:jc w:val="both"/>
        <w:textAlignment w:val="auto"/>
        <w:rPr>
          <w:rFonts w:hint="eastAsia"/>
        </w:rPr>
      </w:pPr>
      <w:r>
        <w:rPr>
          <w:rFonts w:hint="eastAsia" w:ascii="楷体_GB2312" w:hAnsi="仿宋_GB2312" w:eastAsia="楷体_GB2312" w:cs="仿宋_GB2312"/>
          <w:bCs/>
          <w:sz w:val="32"/>
          <w:szCs w:val="32"/>
          <w:lang w:val="en-US" w:eastAsia="zh-CN"/>
        </w:rPr>
        <w:t>（三）确保优先清偿工资。</w:t>
      </w:r>
      <w:r>
        <w:rPr>
          <w:rFonts w:hint="eastAsia" w:ascii="仿宋_GB2312" w:hAnsi="仿宋_GB2312" w:eastAsia="仿宋_GB2312" w:cs="仿宋_GB2312"/>
          <w:i w:val="0"/>
          <w:iCs w:val="0"/>
          <w:caps w:val="0"/>
          <w:color w:val="auto"/>
          <w:spacing w:val="0"/>
          <w:sz w:val="32"/>
          <w:szCs w:val="32"/>
          <w:shd w:val="clear" w:fill="FFFFFF"/>
          <w:lang w:val="en-US" w:eastAsia="zh-CN"/>
        </w:rPr>
        <w:t>根据《保障农民工工资支付条例》，</w:t>
      </w:r>
      <w:r>
        <w:rPr>
          <w:rFonts w:hint="default" w:ascii="仿宋_GB2312" w:hAnsi="仿宋_GB2312" w:eastAsia="仿宋_GB2312" w:cs="仿宋_GB2312"/>
          <w:i w:val="0"/>
          <w:iCs w:val="0"/>
          <w:caps w:val="0"/>
          <w:color w:val="auto"/>
          <w:spacing w:val="0"/>
          <w:sz w:val="32"/>
          <w:szCs w:val="32"/>
          <w:shd w:val="clear" w:fill="FFFFFF"/>
          <w:lang w:val="en-US" w:eastAsia="zh-CN"/>
        </w:rPr>
        <w:t>建设单位应当有满足施工所需要的资金安排。政府投资项目所需资金，应当按照国家有关规定落实到位，不得由施工单位垫资建设。</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为避免</w:t>
      </w:r>
      <w:r>
        <w:rPr>
          <w:rFonts w:hint="eastAsia" w:ascii="仿宋_GB2312" w:hAnsi="仿宋_GB2312" w:eastAsia="仿宋_GB2312" w:cs="仿宋_GB2312"/>
          <w:i w:val="0"/>
          <w:iCs w:val="0"/>
          <w:caps w:val="0"/>
          <w:color w:val="auto"/>
          <w:spacing w:val="0"/>
          <w:sz w:val="32"/>
          <w:szCs w:val="32"/>
          <w:highlight w:val="none"/>
          <w:shd w:val="clear" w:fill="FFFFFF"/>
        </w:rPr>
        <w:t>引发</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劳动关系领域涉稳风险，</w:t>
      </w:r>
      <w:r>
        <w:rPr>
          <w:rFonts w:hint="eastAsia" w:ascii="仿宋_GB2312" w:hAnsi="仿宋_GB2312" w:eastAsia="仿宋_GB2312" w:cs="仿宋_GB2312"/>
          <w:i w:val="0"/>
          <w:iCs w:val="0"/>
          <w:caps w:val="0"/>
          <w:color w:val="auto"/>
          <w:spacing w:val="0"/>
          <w:sz w:val="32"/>
          <w:szCs w:val="32"/>
          <w:shd w:val="clear" w:fill="FFFFFF"/>
          <w:lang w:val="en-US" w:eastAsia="zh-CN"/>
        </w:rPr>
        <w:t>各属地政府、国企投资项目行业主管部门要主动摸排当前劳动风险隐患</w:t>
      </w:r>
      <w:r>
        <w:rPr>
          <w:rFonts w:hint="eastAsia" w:ascii="仿宋_GB2312" w:hAnsi="仿宋_GB2312" w:eastAsia="仿宋_GB2312" w:cs="仿宋_GB2312"/>
          <w:i w:val="0"/>
          <w:iCs w:val="0"/>
          <w:caps w:val="0"/>
          <w:color w:val="auto"/>
          <w:spacing w:val="0"/>
          <w:sz w:val="32"/>
          <w:szCs w:val="32"/>
          <w:highlight w:val="none"/>
          <w:shd w:val="clear" w:fill="FFFFFF"/>
          <w:lang w:eastAsia="zh-CN"/>
        </w:rPr>
        <w:t>。针对当前政府和国企欠薪的情况，</w:t>
      </w:r>
      <w:r>
        <w:rPr>
          <w:rFonts w:hint="eastAsia" w:ascii="仿宋_GB2312" w:hAnsi="仿宋_GB2312" w:eastAsia="仿宋_GB2312" w:cs="仿宋_GB2312"/>
          <w:i w:val="0"/>
          <w:iCs w:val="0"/>
          <w:caps w:val="0"/>
          <w:color w:val="auto"/>
          <w:spacing w:val="0"/>
          <w:sz w:val="32"/>
          <w:szCs w:val="32"/>
          <w:highlight w:val="none"/>
          <w:shd w:val="clear" w:fill="FFFFFF"/>
        </w:rPr>
        <w:t>各</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有关部门尽快积极争取资金，</w:t>
      </w:r>
      <w:r>
        <w:rPr>
          <w:rFonts w:hint="eastAsia" w:ascii="仿宋_GB2312" w:hAnsi="仿宋_GB2312" w:eastAsia="仿宋_GB2312" w:cs="仿宋_GB2312"/>
          <w:i w:val="0"/>
          <w:iCs w:val="0"/>
          <w:caps w:val="0"/>
          <w:color w:val="auto"/>
          <w:spacing w:val="0"/>
          <w:sz w:val="32"/>
          <w:szCs w:val="32"/>
          <w:highlight w:val="none"/>
          <w:shd w:val="clear" w:fill="FFFFFF"/>
        </w:rPr>
        <w:t>加快工资支付进度，</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优先清偿政府投资、国企投资项目工人工资</w:t>
      </w:r>
      <w:r>
        <w:rPr>
          <w:rFonts w:hint="eastAsia" w:ascii="仿宋_GB2312" w:hAnsi="仿宋_GB2312" w:eastAsia="仿宋_GB2312" w:cs="仿宋_GB2312"/>
          <w:i w:val="0"/>
          <w:iCs w:val="0"/>
          <w:caps w:val="0"/>
          <w:color w:val="auto"/>
          <w:spacing w:val="0"/>
          <w:sz w:val="32"/>
          <w:szCs w:val="32"/>
          <w:highlight w:val="none"/>
          <w:shd w:val="clear" w:fill="FFFFFF"/>
        </w:rPr>
        <w:t>。</w:t>
      </w:r>
    </w:p>
    <w:p>
      <w:pPr>
        <w:keepNext w:val="0"/>
        <w:keepLines w:val="0"/>
        <w:pageBreakBefore w:val="0"/>
        <w:widowControl/>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仿宋_GB2312" w:eastAsia="楷体_GB2312" w:cs="仿宋_GB2312"/>
          <w:bCs/>
          <w:sz w:val="32"/>
          <w:szCs w:val="32"/>
        </w:rPr>
        <w:t>（</w:t>
      </w:r>
      <w:r>
        <w:rPr>
          <w:rFonts w:hint="eastAsia" w:ascii="楷体_GB2312" w:hAnsi="仿宋_GB2312" w:eastAsia="楷体_GB2312" w:cs="仿宋_GB2312"/>
          <w:bCs/>
          <w:sz w:val="32"/>
          <w:szCs w:val="32"/>
          <w:lang w:eastAsia="zh-CN"/>
        </w:rPr>
        <w:t>四</w:t>
      </w:r>
      <w:r>
        <w:rPr>
          <w:rFonts w:hint="eastAsia" w:ascii="楷体_GB2312" w:hAnsi="仿宋_GB2312" w:eastAsia="楷体_GB2312" w:cs="仿宋_GB2312"/>
          <w:bCs/>
          <w:sz w:val="32"/>
          <w:szCs w:val="32"/>
        </w:rPr>
        <w:t>）保持治欠惩戒高压态势。</w:t>
      </w:r>
      <w:r>
        <w:rPr>
          <w:rFonts w:hint="eastAsia" w:ascii="仿宋_GB2312" w:hAnsi="仿宋_GB2312" w:eastAsia="仿宋_GB2312" w:cs="仿宋_GB2312"/>
          <w:sz w:val="32"/>
          <w:szCs w:val="32"/>
        </w:rPr>
        <w:t>加大专项行动执法检查工作力度，严厉查处拖欠工资违法行为，对查实的违法问题，依法予以严惩。推进信用惩戒体系建设，依法依规实施联合惩戒，使欠薪违法者“一处违法、处处受限”，保持对欠薪行为的高压态势。</w:t>
      </w:r>
    </w:p>
    <w:p>
      <w:pPr>
        <w:keepNext w:val="0"/>
        <w:keepLines w:val="0"/>
        <w:pageBreakBefore w:val="0"/>
        <w:widowControl/>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_GB2312" w:hAnsi="仿宋_GB2312" w:eastAsia="楷体_GB2312" w:cs="仿宋_GB2312"/>
          <w:bCs/>
          <w:sz w:val="32"/>
          <w:szCs w:val="32"/>
        </w:rPr>
        <w:t>（</w:t>
      </w:r>
      <w:r>
        <w:rPr>
          <w:rFonts w:hint="eastAsia" w:ascii="楷体_GB2312" w:hAnsi="仿宋_GB2312" w:eastAsia="楷体_GB2312" w:cs="仿宋_GB2312"/>
          <w:bCs/>
          <w:sz w:val="32"/>
          <w:szCs w:val="32"/>
          <w:lang w:eastAsia="zh-CN"/>
        </w:rPr>
        <w:t>五</w:t>
      </w:r>
      <w:r>
        <w:rPr>
          <w:rFonts w:hint="eastAsia" w:ascii="楷体_GB2312" w:hAnsi="仿宋_GB2312" w:eastAsia="楷体_GB2312" w:cs="仿宋_GB2312"/>
          <w:bCs/>
          <w:sz w:val="32"/>
          <w:szCs w:val="32"/>
        </w:rPr>
        <w:t>）</w:t>
      </w:r>
      <w:r>
        <w:rPr>
          <w:rFonts w:hint="eastAsia" w:ascii="楷体_GB2312" w:hAnsi="仿宋_GB2312" w:eastAsia="楷体_GB2312" w:cs="仿宋_GB2312"/>
          <w:bCs/>
          <w:sz w:val="32"/>
          <w:szCs w:val="32"/>
          <w:lang w:val="en-US" w:eastAsia="zh-CN"/>
        </w:rPr>
        <w:t>提升源头治理效能</w:t>
      </w:r>
      <w:r>
        <w:rPr>
          <w:rFonts w:hint="eastAsia" w:ascii="楷体_GB2312" w:hAnsi="仿宋_GB2312" w:eastAsia="楷体_GB2312" w:cs="仿宋_GB2312"/>
          <w:bCs/>
          <w:sz w:val="32"/>
          <w:szCs w:val="32"/>
        </w:rPr>
        <w:t>。</w:t>
      </w:r>
      <w:r>
        <w:rPr>
          <w:rFonts w:hint="eastAsia" w:ascii="仿宋_GB2312" w:hAnsi="仿宋_GB2312" w:eastAsia="仿宋_GB2312" w:cs="仿宋_GB2312"/>
          <w:sz w:val="32"/>
          <w:szCs w:val="32"/>
        </w:rPr>
        <w:t>坚持源头治理、依法治理，</w:t>
      </w:r>
      <w:r>
        <w:rPr>
          <w:rFonts w:hint="eastAsia" w:ascii="仿宋_GB2312" w:hAnsi="仿宋_GB2312" w:eastAsia="仿宋_GB2312" w:cs="仿宋_GB2312"/>
          <w:color w:val="auto"/>
          <w:sz w:val="32"/>
          <w:szCs w:val="32"/>
          <w:highlight w:val="none"/>
          <w:lang w:val="en-US" w:eastAsia="zh-CN"/>
        </w:rPr>
        <w:t>强化乡镇属地管理责任，</w:t>
      </w:r>
      <w:r>
        <w:rPr>
          <w:rFonts w:hint="eastAsia" w:ascii="仿宋_GB2312" w:hAnsi="仿宋_GB2312" w:eastAsia="仿宋_GB2312" w:cs="仿宋_GB2312"/>
          <w:sz w:val="32"/>
          <w:szCs w:val="32"/>
        </w:rPr>
        <w:t>压实部门主体责任，形成综合施策治理欠薪工作合力；指导乡镇充分发挥基层简单便捷、高效灵活、柔性化解的优势，发挥乡镇源头化解作用，坚持“预防为主、基层为主、调解为主”工作原则，从源头发现矛盾、化解矛盾，努力把基层劳资矛盾纠纷化解在萌芽状态，形成治欠全链条体系</w:t>
      </w:r>
      <w:r>
        <w:rPr>
          <w:rFonts w:hint="eastAsia" w:ascii="仿宋_GB2312" w:hAnsi="仿宋_GB2312" w:eastAsia="仿宋_GB2312" w:cs="仿宋_GB2312"/>
          <w:sz w:val="32"/>
          <w:szCs w:val="32"/>
          <w:lang w:eastAsia="zh-CN"/>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96B2BC"/>
    <w:multiLevelType w:val="singleLevel"/>
    <w:tmpl w:val="4196B2BC"/>
    <w:lvl w:ilvl="0" w:tentative="0">
      <w:start w:val="3"/>
      <w:numFmt w:val="chineseCounting"/>
      <w:suff w:val="nothing"/>
      <w:lvlText w:val="（%1）"/>
      <w:lvlJc w:val="left"/>
      <w:rPr>
        <w:rFonts w:hint="eastAsia"/>
      </w:rPr>
    </w:lvl>
  </w:abstractNum>
  <w:abstractNum w:abstractNumId="1">
    <w:nsid w:val="56C0A8A7"/>
    <w:multiLevelType w:val="singleLevel"/>
    <w:tmpl w:val="56C0A8A7"/>
    <w:lvl w:ilvl="0" w:tentative="0">
      <w:start w:val="3"/>
      <w:numFmt w:val="decimal"/>
      <w:suff w:val="nothing"/>
      <w:lvlText w:val="%1、"/>
      <w:lvlJc w:val="left"/>
    </w:lvl>
  </w:abstractNum>
  <w:abstractNum w:abstractNumId="2">
    <w:nsid w:val="78CFD815"/>
    <w:multiLevelType w:val="singleLevel"/>
    <w:tmpl w:val="78CFD815"/>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MmYwZjIwMTY3MzhiMmNkZDU1NjhiZjU4MmI5MW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20254EF"/>
    <w:rsid w:val="27111A08"/>
    <w:rsid w:val="280D5901"/>
    <w:rsid w:val="2A0C3112"/>
    <w:rsid w:val="39921607"/>
    <w:rsid w:val="4325183E"/>
    <w:rsid w:val="468762A1"/>
    <w:rsid w:val="5375086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eastAsia="宋体"/>
      <w:b/>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rFonts w:ascii="Times New Roman" w:hAnsi="Times New Roman" w:eastAsia="宋体" w:cs="Times New Roman"/>
      <w:sz w:val="18"/>
      <w:szCs w:val="18"/>
    </w:rPr>
  </w:style>
  <w:style w:type="character" w:customStyle="1" w:styleId="9">
    <w:name w:val="页脚 Char"/>
    <w:basedOn w:val="7"/>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lenovo</cp:lastModifiedBy>
  <cp:lastPrinted>2018-10-25T10:57:00Z</cp:lastPrinted>
  <dcterms:modified xsi:type="dcterms:W3CDTF">2024-04-05T03:21:13Z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22ACF17D77C64415BA54DEA7241BD7EB_13</vt:lpwstr>
  </property>
</Properties>
</file>