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b/>
          <w:sz w:val="36"/>
          <w:szCs w:val="36"/>
        </w:rPr>
      </w:pPr>
      <w:r>
        <w:rPr>
          <w:rFonts w:hint="eastAsia" w:ascii="宋体" w:hAnsi="宋体"/>
          <w:b/>
          <w:sz w:val="36"/>
          <w:szCs w:val="36"/>
        </w:rPr>
        <w:t>乳源瑶族自治县人力资源和社会保障局</w:t>
      </w:r>
    </w:p>
    <w:p>
      <w:pPr>
        <w:spacing w:line="600" w:lineRule="exact"/>
        <w:jc w:val="center"/>
        <w:rPr>
          <w:rFonts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3</w:t>
      </w:r>
      <w:r>
        <w:rPr>
          <w:rFonts w:hint="eastAsia" w:ascii="宋体" w:hAnsi="宋体"/>
          <w:b/>
          <w:sz w:val="36"/>
          <w:szCs w:val="36"/>
        </w:rPr>
        <w:t>年部门整体支出绩效自评报告</w:t>
      </w:r>
    </w:p>
    <w:p>
      <w:pPr>
        <w:spacing w:line="600" w:lineRule="exact"/>
        <w:rPr>
          <w:rFonts w:ascii="仿宋_GB2312" w:eastAsia="仿宋_GB2312"/>
          <w:sz w:val="44"/>
          <w:szCs w:val="44"/>
        </w:rPr>
      </w:pPr>
    </w:p>
    <w:p>
      <w:pPr>
        <w:spacing w:line="600" w:lineRule="exact"/>
        <w:ind w:firstLine="640" w:firstLineChars="200"/>
        <w:rPr>
          <w:rFonts w:ascii="黑体" w:eastAsia="黑体"/>
          <w:sz w:val="32"/>
          <w:szCs w:val="32"/>
        </w:rPr>
      </w:pPr>
      <w:r>
        <w:rPr>
          <w:rFonts w:hint="eastAsia" w:ascii="黑体" w:eastAsia="黑体"/>
          <w:sz w:val="32"/>
          <w:szCs w:val="32"/>
        </w:rPr>
        <w:t>一、单位基本情况及自评结论</w:t>
      </w:r>
    </w:p>
    <w:p>
      <w:pPr>
        <w:spacing w:line="600" w:lineRule="exact"/>
        <w:ind w:left="640"/>
        <w:rPr>
          <w:rFonts w:ascii="仿宋" w:hAnsi="仿宋" w:eastAsia="仿宋" w:cs="方正仿宋简体"/>
          <w:sz w:val="32"/>
          <w:szCs w:val="32"/>
        </w:rPr>
      </w:pPr>
      <w:r>
        <w:rPr>
          <w:rFonts w:hint="eastAsia" w:ascii="仿宋" w:hAnsi="仿宋" w:eastAsia="仿宋" w:cs="方正仿宋简体"/>
          <w:sz w:val="32"/>
          <w:szCs w:val="32"/>
        </w:rPr>
        <w:t>（一）部门职能职责概述</w:t>
      </w:r>
    </w:p>
    <w:p>
      <w:pPr>
        <w:spacing w:line="600" w:lineRule="exact"/>
        <w:ind w:firstLine="640" w:firstLineChars="200"/>
        <w:rPr>
          <w:rFonts w:ascii="仿宋" w:hAnsi="仿宋" w:eastAsia="仿宋" w:cs="方正仿宋简体"/>
          <w:sz w:val="32"/>
          <w:szCs w:val="32"/>
        </w:rPr>
      </w:pPr>
      <w:r>
        <w:rPr>
          <w:rFonts w:ascii="仿宋" w:hAnsi="仿宋" w:eastAsia="仿宋" w:cs="方正仿宋简体"/>
          <w:sz w:val="32"/>
          <w:szCs w:val="32"/>
        </w:rPr>
        <w:t>贯彻执行国家和省有关人力资源和社会保障事业发展的方针政策和法律法规，起草有关规范性文件，拟订本县人力资源和社会保障事业发展规划，并组织实施和监督检查。负责促进就业工作，拟订统筹城乡的就业发展规划和政策，完善公共就业服务体系，健全就业援助制度，完善职业资格制度，统筹建立面向城乡劳动者的职业培训制度，牵头拟订高校毕业生就业政策，会同有关部门拟订高技能人才、农村实用人才培养和激励政策；统筹建立覆盖城乡的社会保障体系。统筹拟订城乡社会保险及其补充保险政策和标准，会同有关部门拟订社会保险及其补充保险基金管理和监督制度，会同有关部门编制本县社会保险基金预决算草案；统筹拟订劳动、人事争议调解仲裁制度和劳动关系政策，完善劳动关系协调机制，制定禁止非法使用童工政策和女工、未成年工的特殊劳动保护政策，组织实施劳动监察，协调劳动者维权工作，依法查处重大案件；会同有关部门指导事业单位人事制度改革，拟订事业单位人员和机关工勤人员管理政策，指导人才管理和开发工作；负责企事业单位专业技术人员继续教育管理工作，牵头推进深化职称制度改革工作，负责高层次专业技术人才选拔和培养工作。</w:t>
      </w:r>
    </w:p>
    <w:p>
      <w:pPr>
        <w:pStyle w:val="12"/>
        <w:spacing w:line="600" w:lineRule="exact"/>
        <w:ind w:firstLine="803" w:firstLineChars="250"/>
        <w:rPr>
          <w:rFonts w:hint="default" w:ascii="仿宋" w:hAnsi="仿宋" w:eastAsia="仿宋"/>
          <w:b/>
          <w:bCs/>
          <w:sz w:val="32"/>
          <w:szCs w:val="32"/>
        </w:rPr>
      </w:pPr>
    </w:p>
    <w:p>
      <w:pPr>
        <w:pStyle w:val="12"/>
        <w:spacing w:line="600" w:lineRule="exact"/>
        <w:ind w:firstLine="803" w:firstLineChars="250"/>
        <w:rPr>
          <w:rFonts w:hint="default" w:ascii="仿宋" w:hAnsi="仿宋" w:eastAsia="仿宋"/>
          <w:b/>
          <w:bCs/>
          <w:sz w:val="32"/>
          <w:szCs w:val="32"/>
        </w:rPr>
      </w:pPr>
      <w:r>
        <w:rPr>
          <w:rFonts w:ascii="仿宋" w:hAnsi="仿宋" w:eastAsia="仿宋"/>
          <w:b/>
          <w:bCs/>
          <w:sz w:val="32"/>
          <w:szCs w:val="32"/>
        </w:rPr>
        <w:t>（二）单位概况</w:t>
      </w:r>
    </w:p>
    <w:p>
      <w:pPr>
        <w:spacing w:line="600" w:lineRule="exact"/>
        <w:ind w:firstLine="640"/>
        <w:jc w:val="center"/>
        <w:rPr>
          <w:rFonts w:hint="eastAsia" w:ascii="仿宋" w:hAnsi="仿宋" w:eastAsia="仿宋" w:cs="方正仿宋简体"/>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w:t>
      </w:r>
    </w:p>
    <w:p>
      <w:pPr>
        <w:spacing w:line="600" w:lineRule="exact"/>
        <w:jc w:val="both"/>
        <w:rPr>
          <w:rFonts w:ascii="仿宋" w:hAnsi="仿宋" w:eastAsia="仿宋" w:cs="方正仿宋简体"/>
          <w:sz w:val="32"/>
          <w:szCs w:val="32"/>
        </w:rPr>
      </w:pPr>
      <w:r>
        <w:rPr>
          <w:rFonts w:hint="eastAsia" w:ascii="仿宋" w:hAnsi="仿宋" w:eastAsia="仿宋" w:cs="方正仿宋简体"/>
          <w:sz w:val="32"/>
          <w:szCs w:val="32"/>
        </w:rPr>
        <w:t>自治县人才管理工作办公室、乳源瑶族自治县劳动人事争议仲裁院和乳源瑶族自治县就业服务管理局</w:t>
      </w:r>
      <w:r>
        <w:rPr>
          <w:rFonts w:hint="eastAsia" w:ascii="仿宋" w:hAnsi="仿宋" w:eastAsia="仿宋" w:cs="方正仿宋简体"/>
          <w:sz w:val="32"/>
          <w:szCs w:val="32"/>
          <w:lang w:eastAsia="zh-CN"/>
        </w:rPr>
        <w:t>和乳源瑶族自治县职业技能服务中心</w:t>
      </w:r>
      <w:r>
        <w:rPr>
          <w:rFonts w:hint="eastAsia" w:ascii="仿宋" w:hAnsi="仿宋" w:eastAsia="仿宋" w:cs="方正仿宋简体"/>
          <w:sz w:val="32"/>
          <w:szCs w:val="32"/>
        </w:rPr>
        <w:t>。</w:t>
      </w:r>
    </w:p>
    <w:p>
      <w:pPr>
        <w:spacing w:line="600" w:lineRule="exact"/>
        <w:ind w:firstLine="640" w:firstLineChars="200"/>
        <w:jc w:val="both"/>
        <w:rPr>
          <w:rFonts w:hint="eastAsia" w:ascii="仿宋" w:hAnsi="仿宋" w:eastAsia="仿宋" w:cs="方正仿宋简体"/>
          <w:sz w:val="32"/>
          <w:szCs w:val="32"/>
        </w:rPr>
      </w:pPr>
      <w:r>
        <w:rPr>
          <w:rFonts w:hint="eastAsia" w:ascii="仿宋" w:hAnsi="仿宋" w:eastAsia="仿宋" w:cs="方正仿宋简体"/>
          <w:sz w:val="32"/>
          <w:szCs w:val="32"/>
        </w:rPr>
        <w:t>行政编制19名，实有1</w:t>
      </w:r>
      <w:r>
        <w:rPr>
          <w:rFonts w:hint="eastAsia" w:ascii="仿宋" w:hAnsi="仿宋" w:eastAsia="仿宋" w:cs="方正仿宋简体"/>
          <w:sz w:val="32"/>
          <w:szCs w:val="32"/>
          <w:lang w:val="en-US" w:eastAsia="zh-CN"/>
        </w:rPr>
        <w:t>8</w:t>
      </w:r>
      <w:r>
        <w:rPr>
          <w:rFonts w:hint="eastAsia" w:ascii="仿宋" w:hAnsi="仿宋" w:eastAsia="仿宋" w:cs="方正仿宋简体"/>
          <w:sz w:val="32"/>
          <w:szCs w:val="32"/>
        </w:rPr>
        <w:t>人，退休1</w:t>
      </w:r>
      <w:r>
        <w:rPr>
          <w:rFonts w:hint="eastAsia" w:ascii="仿宋" w:hAnsi="仿宋" w:eastAsia="仿宋" w:cs="方正仿宋简体"/>
          <w:sz w:val="32"/>
          <w:szCs w:val="32"/>
          <w:lang w:val="en-US" w:eastAsia="zh-CN"/>
        </w:rPr>
        <w:t>8</w:t>
      </w:r>
      <w:r>
        <w:rPr>
          <w:rFonts w:hint="eastAsia" w:ascii="仿宋" w:hAnsi="仿宋" w:eastAsia="仿宋" w:cs="方正仿宋简体"/>
          <w:sz w:val="32"/>
          <w:szCs w:val="32"/>
        </w:rPr>
        <w:t>人；参照公务员管理事业编制9名,实有</w:t>
      </w:r>
      <w:r>
        <w:rPr>
          <w:rFonts w:hint="eastAsia" w:ascii="仿宋" w:hAnsi="仿宋" w:eastAsia="仿宋" w:cs="方正仿宋简体"/>
          <w:sz w:val="32"/>
          <w:szCs w:val="32"/>
          <w:lang w:val="en-US" w:eastAsia="zh-CN"/>
        </w:rPr>
        <w:t>8</w:t>
      </w:r>
      <w:r>
        <w:rPr>
          <w:rFonts w:hint="eastAsia" w:ascii="仿宋" w:hAnsi="仿宋" w:eastAsia="仿宋" w:cs="方正仿宋简体"/>
          <w:sz w:val="32"/>
          <w:szCs w:val="32"/>
        </w:rPr>
        <w:t>人;原编内后勤人员</w:t>
      </w:r>
      <w:r>
        <w:rPr>
          <w:rFonts w:hint="eastAsia" w:ascii="仿宋" w:hAnsi="仿宋" w:eastAsia="仿宋" w:cs="方正仿宋简体"/>
          <w:sz w:val="32"/>
          <w:szCs w:val="32"/>
          <w:lang w:val="en-US" w:eastAsia="zh-CN"/>
        </w:rPr>
        <w:t>1</w:t>
      </w:r>
      <w:r>
        <w:rPr>
          <w:rFonts w:hint="eastAsia" w:ascii="仿宋" w:hAnsi="仿宋" w:eastAsia="仿宋" w:cs="方正仿宋简体"/>
          <w:sz w:val="32"/>
          <w:szCs w:val="32"/>
        </w:rPr>
        <w:t>人；事业单位编制</w:t>
      </w:r>
      <w:r>
        <w:rPr>
          <w:rFonts w:hint="eastAsia" w:ascii="仿宋" w:hAnsi="仿宋" w:eastAsia="仿宋" w:cs="方正仿宋简体"/>
          <w:sz w:val="32"/>
          <w:szCs w:val="32"/>
          <w:lang w:val="en-US" w:eastAsia="zh-CN"/>
        </w:rPr>
        <w:t>79</w:t>
      </w:r>
      <w:r>
        <w:rPr>
          <w:rFonts w:hint="eastAsia" w:ascii="仿宋" w:hAnsi="仿宋" w:eastAsia="仿宋" w:cs="方正仿宋简体"/>
          <w:sz w:val="32"/>
          <w:szCs w:val="32"/>
        </w:rPr>
        <w:t>名</w:t>
      </w:r>
      <w:r>
        <w:rPr>
          <w:rFonts w:hint="eastAsia" w:ascii="仿宋" w:hAnsi="仿宋" w:eastAsia="仿宋" w:cs="方正仿宋简体"/>
          <w:sz w:val="32"/>
          <w:szCs w:val="32"/>
          <w:lang w:eastAsia="zh-CN"/>
        </w:rPr>
        <w:t>（根据</w:t>
      </w:r>
      <w:r>
        <w:rPr>
          <w:rFonts w:hint="eastAsia" w:ascii="仿宋" w:hAnsi="仿宋" w:eastAsia="仿宋" w:cs="方正仿宋简体"/>
          <w:sz w:val="32"/>
          <w:szCs w:val="32"/>
          <w:lang w:val="en-US" w:eastAsia="zh-CN"/>
        </w:rPr>
        <w:t>乳机编[2022]66号，安排58名高层次人才专项编制周转池编制在本单位下属事业单位就业服务管理局</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，实有</w:t>
      </w:r>
      <w:r>
        <w:rPr>
          <w:rFonts w:hint="eastAsia" w:ascii="仿宋" w:hAnsi="仿宋" w:eastAsia="仿宋" w:cs="方正仿宋简体"/>
          <w:sz w:val="32"/>
          <w:szCs w:val="32"/>
          <w:lang w:val="en-US" w:eastAsia="zh-CN"/>
        </w:rPr>
        <w:t>66</w:t>
      </w:r>
      <w:r>
        <w:rPr>
          <w:rFonts w:hint="eastAsia" w:ascii="仿宋" w:hAnsi="仿宋" w:eastAsia="仿宋" w:cs="方正仿宋简体"/>
          <w:sz w:val="32"/>
          <w:szCs w:val="32"/>
        </w:rPr>
        <w:t>人，退休</w:t>
      </w:r>
      <w:r>
        <w:rPr>
          <w:rFonts w:hint="eastAsia" w:ascii="仿宋" w:hAnsi="仿宋" w:eastAsia="仿宋" w:cs="方正仿宋简体"/>
          <w:sz w:val="32"/>
          <w:szCs w:val="32"/>
          <w:lang w:val="en-US" w:eastAsia="zh-CN"/>
        </w:rPr>
        <w:t>7</w:t>
      </w:r>
      <w:r>
        <w:rPr>
          <w:rFonts w:hint="eastAsia" w:ascii="仿宋" w:hAnsi="仿宋" w:eastAsia="仿宋" w:cs="方正仿宋简体"/>
          <w:sz w:val="32"/>
          <w:szCs w:val="32"/>
        </w:rPr>
        <w:t>人。</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（三）综述项目自评等级和分数。</w:t>
      </w:r>
    </w:p>
    <w:p>
      <w:pPr>
        <w:spacing w:line="6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2023年，县人社局在县委县政府的正确领导下，坚持以习近平新时代中国特色社会主义思想为指导，深入学习党的二十大精神，继续围</w:t>
      </w:r>
      <w:bookmarkStart w:id="4" w:name="_GoBack"/>
      <w:bookmarkEnd w:id="4"/>
      <w:r>
        <w:rPr>
          <w:rFonts w:hint="eastAsia" w:ascii="仿宋_GB2312" w:hAnsi="仿宋_GB2312" w:eastAsia="仿宋_GB2312" w:cs="仿宋_GB2312"/>
          <w:color w:val="auto"/>
          <w:sz w:val="32"/>
          <w:szCs w:val="32"/>
        </w:rPr>
        <w:t>绕“民生为本、人才优先”工作主线，扎实推动人社事业实现高质量发展，各项工作有序推进</w:t>
      </w:r>
      <w:r>
        <w:rPr>
          <w:rFonts w:hint="eastAsia" w:ascii="仿宋_GB2312" w:hAnsi="仿宋_GB2312" w:eastAsia="仿宋_GB2312" w:cs="仿宋_GB2312"/>
          <w:color w:val="auto"/>
          <w:sz w:val="32"/>
          <w:szCs w:val="32"/>
          <w:lang w:eastAsia="zh-CN"/>
        </w:rPr>
        <w:t>。</w:t>
      </w:r>
    </w:p>
    <w:p>
      <w:pPr>
        <w:spacing w:line="600" w:lineRule="exact"/>
        <w:ind w:firstLine="640" w:firstLineChars="200"/>
        <w:rPr>
          <w:rFonts w:ascii="仿宋_GB2312" w:eastAsia="仿宋_GB2312"/>
          <w:sz w:val="32"/>
          <w:szCs w:val="32"/>
        </w:rPr>
      </w:pPr>
      <w:r>
        <w:rPr>
          <w:rFonts w:hint="eastAsia" w:ascii="仿宋_GB2312" w:eastAsia="仿宋_GB2312"/>
          <w:color w:val="000000"/>
          <w:sz w:val="32"/>
          <w:szCs w:val="32"/>
        </w:rPr>
        <w:t>自评等级优秀，得分9</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分。</w:t>
      </w:r>
    </w:p>
    <w:p>
      <w:pPr>
        <w:spacing w:line="600" w:lineRule="exact"/>
        <w:ind w:firstLine="643" w:firstLineChars="200"/>
        <w:rPr>
          <w:rFonts w:ascii="仿宋_GB2312" w:eastAsia="仿宋_GB2312"/>
          <w:b/>
          <w:bCs/>
          <w:sz w:val="32"/>
          <w:szCs w:val="32"/>
        </w:rPr>
      </w:pPr>
      <w:r>
        <w:rPr>
          <w:rFonts w:hint="eastAsia" w:ascii="方正仿宋简体" w:hAnsi="方正仿宋简体" w:eastAsia="方正仿宋简体" w:cs="方正仿宋简体"/>
          <w:b/>
          <w:bCs/>
          <w:sz w:val="32"/>
          <w:szCs w:val="32"/>
        </w:rPr>
        <w:t>二、收入支出预算执行情况</w:t>
      </w:r>
      <w:r>
        <w:rPr>
          <w:rFonts w:hint="eastAsia" w:ascii="仿宋_GB2312" w:eastAsia="仿宋_GB2312"/>
          <w:b/>
          <w:bCs/>
          <w:sz w:val="32"/>
          <w:szCs w:val="32"/>
        </w:rPr>
        <w:t>。</w:t>
      </w:r>
    </w:p>
    <w:p>
      <w:pPr>
        <w:snapToGrid w:val="0"/>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sz w:val="32"/>
          <w:szCs w:val="32"/>
        </w:rPr>
        <w:t>（一）收入支出预算安排情况。</w:t>
      </w:r>
    </w:p>
    <w:p>
      <w:pPr>
        <w:ind w:firstLine="640" w:firstLineChars="200"/>
        <w:jc w:val="left"/>
        <w:rPr>
          <w:rFonts w:hint="eastAsia" w:ascii="仿宋" w:hAnsi="仿宋" w:eastAsia="仿宋" w:cs="仿宋"/>
          <w:color w:val="FF0000"/>
          <w:kern w:val="2"/>
          <w:sz w:val="32"/>
          <w:szCs w:val="32"/>
          <w:lang w:val="en-US" w:eastAsia="zh-CN" w:bidi="ar-SA"/>
        </w:rPr>
      </w:pPr>
      <w:r>
        <w:rPr>
          <w:rFonts w:hint="eastAsia" w:ascii="仿宋_GB2312" w:hAnsi="仿宋" w:eastAsia="仿宋_GB2312"/>
          <w:color w:val="auto"/>
          <w:sz w:val="32"/>
          <w:szCs w:val="32"/>
        </w:rPr>
        <w:t>2</w:t>
      </w:r>
      <w:r>
        <w:rPr>
          <w:rFonts w:hint="eastAsia" w:ascii="仿宋" w:hAnsi="仿宋" w:eastAsia="仿宋" w:cs="仿宋"/>
          <w:color w:val="auto"/>
          <w:kern w:val="2"/>
          <w:sz w:val="32"/>
          <w:szCs w:val="32"/>
          <w:lang w:val="en-US" w:eastAsia="zh-CN" w:bidi="ar-SA"/>
        </w:rPr>
        <w:t>023年本部门收入预算3,158.08万元，比上年</w:t>
      </w:r>
      <w:bookmarkStart w:id="0" w:name="PO_part3A1IncAmount1"/>
      <w:r>
        <w:rPr>
          <w:rFonts w:hint="eastAsia" w:ascii="仿宋" w:hAnsi="仿宋" w:eastAsia="仿宋" w:cs="仿宋"/>
          <w:color w:val="auto"/>
          <w:kern w:val="2"/>
          <w:sz w:val="32"/>
          <w:szCs w:val="32"/>
          <w:lang w:val="en-US" w:eastAsia="zh-CN" w:bidi="ar-SA"/>
        </w:rPr>
        <w:t>增加</w:t>
      </w:r>
      <w:bookmarkEnd w:id="0"/>
      <w:r>
        <w:rPr>
          <w:rFonts w:hint="eastAsia" w:ascii="仿宋" w:hAnsi="仿宋" w:eastAsia="仿宋" w:cs="仿宋"/>
          <w:color w:val="auto"/>
          <w:kern w:val="2"/>
          <w:sz w:val="32"/>
          <w:szCs w:val="32"/>
          <w:lang w:val="en-US" w:eastAsia="zh-CN" w:bidi="ar-SA"/>
        </w:rPr>
        <w:t>780.94万元，</w:t>
      </w:r>
      <w:bookmarkStart w:id="1" w:name="PO_part3A1IncPercent1"/>
      <w:r>
        <w:rPr>
          <w:rFonts w:hint="eastAsia" w:ascii="仿宋" w:hAnsi="仿宋" w:eastAsia="仿宋" w:cs="仿宋"/>
          <w:color w:val="auto"/>
          <w:kern w:val="2"/>
          <w:sz w:val="32"/>
          <w:szCs w:val="32"/>
          <w:lang w:val="en-US" w:eastAsia="zh-CN" w:bidi="ar-SA"/>
        </w:rPr>
        <w:t>增长</w:t>
      </w:r>
      <w:bookmarkEnd w:id="1"/>
      <w:r>
        <w:rPr>
          <w:rFonts w:hint="eastAsia" w:ascii="仿宋" w:hAnsi="仿宋" w:eastAsia="仿宋" w:cs="仿宋"/>
          <w:color w:val="auto"/>
          <w:kern w:val="2"/>
          <w:sz w:val="32"/>
          <w:szCs w:val="32"/>
          <w:lang w:val="en-US" w:eastAsia="zh-CN" w:bidi="ar-SA"/>
        </w:rPr>
        <w:t>32.85%，主要原因是中央就业补助资金收入增加，“韶州工匠计划”补贴收入增加，新增招录16人人员经费收入增加、增加其他收入；支出预算3,155.50万元，比上年</w:t>
      </w:r>
      <w:bookmarkStart w:id="2" w:name="PO_part3A1IncAmount2"/>
      <w:r>
        <w:rPr>
          <w:rFonts w:hint="eastAsia" w:ascii="仿宋" w:hAnsi="仿宋" w:eastAsia="仿宋" w:cs="仿宋"/>
          <w:color w:val="auto"/>
          <w:kern w:val="2"/>
          <w:sz w:val="32"/>
          <w:szCs w:val="32"/>
          <w:lang w:val="en-US" w:eastAsia="zh-CN" w:bidi="ar-SA"/>
        </w:rPr>
        <w:t>增加</w:t>
      </w:r>
      <w:bookmarkEnd w:id="2"/>
      <w:r>
        <w:rPr>
          <w:rFonts w:hint="eastAsia" w:ascii="仿宋" w:hAnsi="仿宋" w:eastAsia="仿宋" w:cs="仿宋"/>
          <w:color w:val="auto"/>
          <w:kern w:val="2"/>
          <w:sz w:val="32"/>
          <w:szCs w:val="32"/>
          <w:lang w:val="en-US" w:eastAsia="zh-CN" w:bidi="ar-SA"/>
        </w:rPr>
        <w:t>778.24万元，</w:t>
      </w:r>
      <w:bookmarkStart w:id="3" w:name="PO_part3A1IncPercent2"/>
      <w:r>
        <w:rPr>
          <w:rFonts w:hint="eastAsia" w:ascii="仿宋" w:hAnsi="仿宋" w:eastAsia="仿宋" w:cs="仿宋"/>
          <w:color w:val="auto"/>
          <w:kern w:val="2"/>
          <w:sz w:val="32"/>
          <w:szCs w:val="32"/>
          <w:lang w:val="en-US" w:eastAsia="zh-CN" w:bidi="ar-SA"/>
        </w:rPr>
        <w:t>增长</w:t>
      </w:r>
      <w:bookmarkEnd w:id="3"/>
      <w:r>
        <w:rPr>
          <w:rFonts w:hint="eastAsia" w:ascii="仿宋" w:hAnsi="仿宋" w:eastAsia="仿宋" w:cs="仿宋"/>
          <w:color w:val="auto"/>
          <w:kern w:val="2"/>
          <w:sz w:val="32"/>
          <w:szCs w:val="32"/>
          <w:lang w:val="en-US" w:eastAsia="zh-CN" w:bidi="ar-SA"/>
        </w:rPr>
        <w:t>32.74%，主要原因是中央就业补助资金支出增加，“韶州工匠计划”补贴支出增加，人员经费支出增加、增加其他支出。</w:t>
      </w:r>
    </w:p>
    <w:p>
      <w:pPr>
        <w:snapToGrid w:val="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（二）收入支出预算执行情况。</w:t>
      </w:r>
    </w:p>
    <w:p>
      <w:pPr>
        <w:ind w:firstLine="640" w:firstLineChars="20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2023年总收入3,158.08万元，比年初预算增加1,036.59万元，主要原因是中央就业补助资金收入增加，“韶州工匠计划”补贴收入增加，新增招录16人人员经费收入增加、增加其他收入。</w:t>
      </w:r>
    </w:p>
    <w:p>
      <w:pPr>
        <w:ind w:firstLine="640" w:firstLineChars="200"/>
        <w:jc w:val="left"/>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2023年总支出3,155.50万元，比年初预算增加1034.02万元，主要原因是中央就业补助资金支出增加，“韶州工匠计划”补贴支出增加，人员经费支出增加、增加其他支出。</w:t>
      </w:r>
    </w:p>
    <w:p>
      <w:pPr>
        <w:pStyle w:val="6"/>
        <w:widowControl/>
        <w:shd w:val="clear" w:color="auto" w:fill="FFFFFF"/>
        <w:spacing w:before="0" w:beforeAutospacing="0" w:after="0" w:afterAutospacing="0" w:line="600" w:lineRule="exact"/>
        <w:ind w:firstLine="643" w:firstLineChars="200"/>
        <w:jc w:val="both"/>
        <w:rPr>
          <w:rFonts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三、主要工作完成情况</w:t>
      </w:r>
    </w:p>
    <w:p>
      <w:pPr>
        <w:pStyle w:val="14"/>
        <w:widowControl/>
        <w:spacing w:line="600" w:lineRule="exact"/>
        <w:ind w:firstLine="640"/>
        <w:rPr>
          <w:rFonts w:ascii="楷体_GB2312" w:eastAsia="楷体_GB2312"/>
          <w:kern w:val="0"/>
        </w:rPr>
      </w:pPr>
      <w:r>
        <w:rPr>
          <w:rFonts w:hint="eastAsia" w:ascii="楷体_GB2312" w:eastAsia="楷体_GB2312"/>
          <w:kern w:val="0"/>
        </w:rPr>
        <w:t>（一）指标完成情况</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1.就业创业：</w:t>
      </w:r>
      <w:r>
        <w:rPr>
          <w:rFonts w:hint="eastAsia" w:ascii="仿宋_GB2312" w:hAnsi="仿宋_GB2312" w:eastAsia="仿宋_GB2312" w:cs="仿宋_GB2312"/>
          <w:color w:val="auto"/>
          <w:sz w:val="32"/>
          <w:szCs w:val="32"/>
        </w:rPr>
        <w:t>全县城镇新增就业1052人，完成年度目标任务105.2%；城镇失业人员再就业515人，完成年度目标任务103%；就业困难人员实现再就业152人，完成年度目标任务104.8%；促进创业122人，完成年度目标任务的101.6%。</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2.社会保险：</w:t>
      </w:r>
      <w:r>
        <w:rPr>
          <w:rFonts w:hint="eastAsia" w:ascii="仿宋_GB2312" w:hAnsi="仿宋_GB2312" w:eastAsia="仿宋_GB2312" w:cs="仿宋_GB2312"/>
          <w:color w:val="auto"/>
          <w:sz w:val="32"/>
          <w:szCs w:val="32"/>
          <w:lang w:val="en-US" w:eastAsia="zh-CN"/>
        </w:rPr>
        <w:t>一是参保人数。</w:t>
      </w:r>
      <w:r>
        <w:rPr>
          <w:rFonts w:hint="eastAsia" w:ascii="仿宋_GB2312" w:eastAsia="仿宋_GB2312"/>
          <w:b w:val="0"/>
          <w:bCs w:val="0"/>
          <w:color w:val="auto"/>
          <w:sz w:val="32"/>
          <w:szCs w:val="32"/>
          <w:highlight w:val="none"/>
          <w:lang w:eastAsia="zh-CN"/>
        </w:rPr>
        <w:t>截至12月底，全县参加城镇职工基本养老、失业、工伤保险分别为45859人（含离退休）、25732人、36365人，三项分别完成年度目标任务的103.47%、103.78%、106.67%，其中：企业职工基本养老保险参保30407人（不含离退休）、缴费28993人、分别完成年度目标任务的103.28%、101.25%；机关事业单位养老保险参保5980人。城乡居民基本养老保险参保84867人，完成年度目标任务的102.09%，缴费30675人（含累计趸缴人数），完成年度目标任务的101.57%。</w:t>
      </w:r>
      <w:r>
        <w:rPr>
          <w:rFonts w:hint="eastAsia" w:ascii="仿宋_GB2312" w:hAnsi="仿宋_GB2312" w:eastAsia="仿宋_GB2312" w:cs="仿宋_GB2312"/>
          <w:color w:val="auto"/>
          <w:sz w:val="32"/>
          <w:szCs w:val="32"/>
          <w:lang w:val="en-US" w:eastAsia="zh-CN"/>
        </w:rPr>
        <w:t>二是基金征收。</w:t>
      </w:r>
      <w:r>
        <w:rPr>
          <w:rFonts w:hint="eastAsia" w:ascii="仿宋_GB2312" w:eastAsia="仿宋_GB2312"/>
          <w:b w:val="0"/>
          <w:bCs w:val="0"/>
          <w:color w:val="auto"/>
          <w:sz w:val="32"/>
          <w:szCs w:val="32"/>
          <w:highlight w:val="none"/>
          <w:lang w:val="en-US" w:eastAsia="zh-CN"/>
        </w:rPr>
        <w:t>企业职工基本养老保险、失业保险、工伤保险基金征缴收入分别为35443万元、963万元、783万元，完成率116.02%、146.35%、124.29%。</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3.人才队伍建设：</w:t>
      </w:r>
      <w:r>
        <w:rPr>
          <w:rFonts w:hint="eastAsia" w:ascii="仿宋_GB2312" w:hAnsi="仿宋_GB2312" w:eastAsia="仿宋_GB2312" w:cs="仿宋_GB2312"/>
          <w:color w:val="auto"/>
          <w:sz w:val="32"/>
          <w:szCs w:val="32"/>
          <w:lang w:val="en-US" w:eastAsia="zh-CN"/>
        </w:rPr>
        <w:t>开展补贴性职业技能培训2568人（含失业保险技能补贴1063人），完成下达任务指标1300人的197.54%；“粤菜师傅”培训获证84人，完成下达任务目标80人的105%；“南粤家政”培训490人，完成下达任务指标440人的111.36%；农村电商培训118人，完成下达任务指标70人的168.57%；新增取得职业资格证书或职业技能等级证书1250人，完成市下达任务1250人的100%；新增取得高级工以上职业资格证书或职业技能等级证书185人，完成市下达任务150人的123.33%，新增取得技师以上职业资格证书或职业技能等级证书17人，完成市下达任务5人的340%。</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4.劳动关系协调：</w:t>
      </w:r>
      <w:r>
        <w:rPr>
          <w:rFonts w:hint="eastAsia" w:ascii="仿宋_GB2312" w:hAnsi="仿宋_GB2312" w:eastAsia="仿宋_GB2312" w:cs="仿宋_GB2312"/>
          <w:color w:val="auto"/>
          <w:kern w:val="2"/>
          <w:sz w:val="32"/>
          <w:szCs w:val="32"/>
          <w:lang w:val="en-US" w:eastAsia="zh-CN" w:bidi="ar-SA"/>
        </w:rPr>
        <w:t>劳动人事争议案件调解率为87.8%（市下达任务75%），劳动人事争议仲裁结案率为99.15%（市下达任务95%）。劳动保障监察举报投诉案件结案率96%（市下达任务96%）,拖欠农民工工资举报投诉案件结案率98%（市下达任务98%）。</w:t>
      </w:r>
    </w:p>
    <w:p>
      <w:pPr>
        <w:pStyle w:val="14"/>
        <w:widowControl/>
        <w:topLinePunct/>
        <w:spacing w:line="560" w:lineRule="exact"/>
        <w:ind w:firstLine="640" w:firstLineChars="200"/>
        <w:rPr>
          <w:rFonts w:ascii="黑体" w:hAnsi="黑体" w:eastAsia="黑体"/>
          <w:kern w:val="0"/>
        </w:rPr>
      </w:pPr>
      <w:r>
        <w:rPr>
          <w:rFonts w:hint="eastAsia" w:ascii="黑体" w:hAnsi="黑体" w:eastAsia="黑体"/>
          <w:kern w:val="0"/>
        </w:rPr>
        <w:t>(二)主要工作成效</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坚持就业优先战略，稳步推动就业创业工作</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color w:val="auto"/>
          <w:sz w:val="32"/>
          <w:szCs w:val="32"/>
        </w:rPr>
        <w:t>一是开展重点企业用工保障服务行动，完善企业用工需求规集机制。积极落实“千名就业服务专员助万家重点企业”“人社局长千企行”活动，通过实地走访，大力宣传就业创业政策，建立企业用工需求清单。2023年，共开展“人社局长千企行”16家/次，累计走访企业60家/次，建立“一企一策”台账22家/次，全年累计为规上企业新招2037名员工。</w:t>
      </w:r>
      <w:r>
        <w:rPr>
          <w:rFonts w:hint="eastAsia" w:ascii="仿宋_GB2312" w:hAnsi="仿宋_GB2312" w:eastAsia="仿宋_GB2312" w:cs="仿宋_GB2312"/>
          <w:color w:val="auto"/>
          <w:sz w:val="32"/>
          <w:szCs w:val="32"/>
          <w:lang w:eastAsia="zh-CN"/>
        </w:rPr>
        <w:t>二是举办</w:t>
      </w:r>
      <w:r>
        <w:rPr>
          <w:rFonts w:hint="eastAsia" w:ascii="仿宋_GB2312" w:hAnsi="仿宋_GB2312" w:eastAsia="仿宋_GB2312" w:cs="仿宋_GB2312"/>
          <w:color w:val="auto"/>
          <w:sz w:val="32"/>
          <w:szCs w:val="32"/>
        </w:rPr>
        <w:t>线上线下招聘会11场，提供就业岗位2964个，网上点击量13062次，达成就业意向737人次，派发宣传资料3139份。</w:t>
      </w:r>
      <w:r>
        <w:rPr>
          <w:rFonts w:hint="eastAsia" w:ascii="仿宋_GB2312" w:hAnsi="仿宋_GB2312" w:eastAsia="仿宋_GB2312" w:cs="仿宋_GB2312"/>
          <w:color w:val="auto"/>
          <w:sz w:val="32"/>
          <w:szCs w:val="32"/>
          <w:lang w:eastAsia="zh-CN"/>
        </w:rPr>
        <w:t>三是加大重点群体就业援助力度，促进重点群体就业创业。2023年，累计认定就业困难人员210人，开展就业跟踪服务1348人次，通过公益性岗位安置11人。</w:t>
      </w:r>
      <w:r>
        <w:rPr>
          <w:rFonts w:hint="eastAsia" w:ascii="仿宋_GB2312" w:hAnsi="仿宋_GB2312" w:eastAsia="仿宋_GB2312" w:cs="仿宋_GB2312"/>
          <w:color w:val="auto"/>
          <w:sz w:val="32"/>
          <w:szCs w:val="32"/>
        </w:rPr>
        <w:t>四是加大就业创业补贴审核发放力度。2023年受理申请“韶州工匠计划”，认定22名风采技师，74名风采能手，共发放补贴108.64万元。针对重点群体发放各类就业创业补贴1046万元，惠及538</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人次，其中发放创业担保贷款贴息合计134万元。继续实施企业吸纳社会保险补贴“直补快办”，向广东东阳光科技控股股份有限公司、韶关胜蓝电子科技有限公司、广东禾康精细化工有限公司等县域重点用工企业发放一次性扩岗补助14.8万元。</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b/>
          <w:bCs/>
          <w:color w:val="auto"/>
          <w:sz w:val="32"/>
          <w:szCs w:val="32"/>
          <w:lang w:val="en-US" w:eastAsia="zh-CN"/>
        </w:rPr>
        <w:t>2.坚持社保惠民，持续完善社会保障体系建设。</w:t>
      </w:r>
      <w:r>
        <w:rPr>
          <w:rFonts w:hint="eastAsia" w:ascii="仿宋_GB2312" w:hAnsi="仿宋_GB2312" w:eastAsia="仿宋_GB2312" w:cs="仿宋_GB2312"/>
          <w:b w:val="0"/>
          <w:bCs w:val="0"/>
          <w:color w:val="auto"/>
          <w:sz w:val="32"/>
          <w:szCs w:val="32"/>
          <w:highlight w:val="none"/>
          <w:lang w:eastAsia="zh-CN"/>
        </w:rPr>
        <w:t>一是</w:t>
      </w:r>
      <w:r>
        <w:rPr>
          <w:rFonts w:hint="eastAsia" w:ascii="仿宋_GB2312" w:hAnsi="仿宋_GB2312" w:eastAsia="仿宋_GB2312" w:cs="仿宋_GB2312"/>
          <w:b w:val="0"/>
          <w:bCs w:val="0"/>
          <w:color w:val="auto"/>
          <w:sz w:val="32"/>
          <w:szCs w:val="32"/>
          <w:highlight w:val="none"/>
        </w:rPr>
        <w:t>被征地农民养老保障工作。今年已获批10个征地项目涉及征地社保金471.01689万元，其中7个项目征地社保金275.27646已全部参保缴费至农民个人；剩余3个项目的征地社保金已划转至城居保市级专户，社保中心正在做入账处理。不存在逾期未落实参保缴费情况。今年向市局报送的9个新建设项目征地社保审核组卷材料，均已获得社保审核意见书。</w:t>
      </w:r>
      <w:r>
        <w:rPr>
          <w:rFonts w:hint="eastAsia" w:ascii="仿宋_GB2312" w:hAnsi="仿宋_GB2312" w:eastAsia="仿宋_GB2312" w:cs="仿宋_GB2312"/>
          <w:b w:val="0"/>
          <w:bCs w:val="0"/>
          <w:color w:val="auto"/>
          <w:sz w:val="32"/>
          <w:szCs w:val="32"/>
          <w:highlight w:val="none"/>
          <w:lang w:eastAsia="zh-CN"/>
        </w:rPr>
        <w:t>二是工伤认定工作。</w:t>
      </w:r>
      <w:r>
        <w:rPr>
          <w:rFonts w:hint="eastAsia" w:ascii="仿宋_GB2312" w:hAnsi="仿宋_GB2312" w:eastAsia="仿宋_GB2312" w:cs="仿宋_GB2312"/>
          <w:color w:val="auto"/>
          <w:kern w:val="0"/>
          <w:sz w:val="32"/>
          <w:szCs w:val="32"/>
          <w:lang w:eastAsia="zh-CN"/>
        </w:rPr>
        <w:t>收到单位、群众提交来的工伤认定申请案件共159宗；其中认定124宗，19宗暂未出认定结果，不予受理2宗，不予认定11宗，撤回3宗。</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3.坚持引育管用并举，推进人事人才发展。</w:t>
      </w:r>
      <w:r>
        <w:rPr>
          <w:rFonts w:hint="eastAsia" w:ascii="仿宋_GB2312" w:hAnsi="仿宋_GB2312" w:eastAsia="仿宋_GB2312" w:cs="仿宋_GB2312"/>
          <w:color w:val="auto"/>
          <w:sz w:val="32"/>
          <w:szCs w:val="32"/>
          <w:highlight w:val="none"/>
          <w:lang w:val="en-US" w:eastAsia="zh-CN"/>
        </w:rPr>
        <w:t>一是做好事业单位招聘工作。全年发布公开招聘及协助完成入编聘用的公告11个（含校园招聘2个），招聘岗位共435个，已完成聘用233人，待聘用约44人。二是认真做好职称管理工作。受理我县职称评审和申报354份，其中送至市级以上评委会237份，我县评委会开评117人。三是做好事业单位管理岗位职员等级晋升工作。截至目前，我县共开展3批次职员等级晋升工作，共90人（晋升七级职员2人，晋升八级职员58人，晋升九级职员30人），其中，2023年5月完成了23个单位50人晋升工作（晋升七级职员2人，晋升八级职员31人，晋升九级职员17人）。四是落实“百团千才万匠”人才工程。2023年，我县开展青年人才申报26人，开展2023年专业技术人才申报8人，通过市人才服务局认定备案的有创新创业人才2名、专业技术人才2名、青年人才有6名。五是推动人才入县下乡。协助制定印发《乳源瑶族自治县推动“百县千镇万村高质量发展工程”人才入县下乡十条措施》，我局负责的“重点人才深化服务行动”“人才驿站提升行动”“人才驿站系列活动”“丹霞英才计划”等4个项目，各项工作均取得较好成效。六是积极发挥人才驿站作用。我县在2022年韶关市县（市、区）级乡村振兴人才驿站考核结果中被评为优秀等次。在市级评定工作中，洛阳镇、一六镇2家人才驿站评为镇级乡村振兴人才驿站A级站点，大布镇人才驿站获得镇级乡村振兴人才驿站B级站点。2023年累计开展各类人才活动160场，参与8772人，柔性引进专家学者197名（其中邀请国家级人才16人次，省部级人才45人次），协助市直部门开展粤港澳大湾区人才韶关行活动4场，为推动乡村振兴引才聚才注入“源头活水”。七是落实人才激励优惠政策。累计发放高校毕业生基层就业补贴114.2万元，惠及228人；发放2022年在韶就业补贴146.61万元，惠及224人；发放韶关市“丹霞英才计划”人才待遇59.58万元。打造人才安居工程，今年以来我县共有34位符合条件的人才入住我县人才公寓。八是做好“三支一扶”大学生服务管理工作。目前在岗的“三支一扶”人员有27人，其中支农6人、支教9人、支医1人、帮扶乡村振兴10人、水利1人，为乡村振兴强化人才支撑。</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4.坚持防范化解欠薪风险，积极构建和谐劳动关系。</w:t>
      </w:r>
      <w:r>
        <w:rPr>
          <w:rFonts w:hint="eastAsia" w:ascii="仿宋_GB2312" w:hAnsi="仿宋_GB2312" w:eastAsia="仿宋_GB2312" w:cs="仿宋_GB2312"/>
          <w:color w:val="auto"/>
          <w:kern w:val="2"/>
          <w:sz w:val="32"/>
          <w:szCs w:val="32"/>
          <w:lang w:val="en-US" w:eastAsia="zh-CN" w:bidi="ar-SA"/>
        </w:rPr>
        <w:t>一是线上线下调解处理农民工欠薪案件70宗，累计追发343名农民工工资428.31万元。另包案化解15宗重点欠薪案件，累计追发927名农民工工资共计2060.55万元。当前全县劳动关系总体平稳，未因欠薪引发50人以上群体性事件或极端事件情况，未因欠薪引发重大舆情情况。二是累计重点对建筑业、加工制造业、批发和零售业等行业领域251家次（其中检查在建工程项目共124家次）企业和工程项目的实名制用工、工资发放、在建项目《保障农民工工资支付条例》规章制度落实情况，包括工资专用账户、总包代发工资、实名制管理、工程款支付担保、按月足额支付、工资保证金、维权信息公示等制度落实情况等方面开展书面检查、实地督查和巡查。三是于中秋、国庆“双节”前开展了欠薪风险隐患排查以及信访维稳工作，创新工作方式，制定《《乳源瑶族自治县保障农民工工资支付监管工作方案》。四是做好劳动仲裁工作。2023年度，案外调解劳动争议335件，不予受理41件，立案审理劳动人事争议116件，涉案总金额为936.51万元。</w:t>
      </w:r>
    </w:p>
    <w:p>
      <w:pPr>
        <w:keepNext w:val="0"/>
        <w:keepLines w:val="0"/>
        <w:pageBreakBefore w:val="0"/>
        <w:widowControl w:val="0"/>
        <w:kinsoku/>
        <w:wordWrap w:val="0"/>
        <w:overflowPunct/>
        <w:topLinePunct w:val="0"/>
        <w:autoSpaceDE/>
        <w:autoSpaceDN/>
        <w:bidi w:val="0"/>
        <w:adjustRightInd/>
        <w:snapToGrid/>
        <w:spacing w:line="540" w:lineRule="exact"/>
        <w:ind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5.坚持实施“三项工程”，大力开展职业技能培训。</w:t>
      </w:r>
      <w:r>
        <w:rPr>
          <w:rFonts w:hint="eastAsia" w:ascii="仿宋_GB2312" w:hAnsi="仿宋_GB2312" w:eastAsia="仿宋_GB2312" w:cs="仿宋_GB2312"/>
          <w:color w:val="auto"/>
          <w:kern w:val="2"/>
          <w:sz w:val="32"/>
          <w:szCs w:val="32"/>
          <w:lang w:val="en-US" w:eastAsia="zh-CN" w:bidi="ar-SA"/>
        </w:rPr>
        <w:t>一是持续推进“粤菜师傅”高质量发展。制定《韶州客家菜∙乳源乡厨人才培训交流系列活动方案》，先后在6个镇开展乡厨人才交流活动。积极组织“粤菜师傅”培训获证84人，通过中式烹调师中级工（四级）技能等级认定21人，通过广式点心制作专项职业能力考核30人。组织水库移民参加“粤菜师傅”中式面点师中级班1期30人，通过考核22人。举办2023年乳源瑶族自治县“粤菜师傅”工程之“庆丰收·乳源三宝宴”烹饪技能大赛，有效促进民族地区“粤菜产业”，助力乡村振兴发展。二是多形式发展助推“广东技工”工程。根据企业需求开展高危企业在岗员工安全技能培训备案2期77人，通过55人。在中职学校进行了468人的技能等级认定工作，在韶关胜蓝电子科技有限公司开展等级认定49人；在东阳光企业开展技能等级认定869人。组织10名选手参加韶关市第四届“广东技工”技能竞赛，其中6人获优胜奖。三是打造“南粤家政”放心品牌。开展妇婴护理、养老护理员、保育员等相关培训490人次。组织16人的团队参加韶关市第四届“南粤家政”技能竞赛，获得8个优胜奖。2023年，我县广东嘉乐物业公司成功认定为“南粤家政基层服务示范站”。四是开拓“农村电商”“乡村工匠”人才培育。组织农村电商（网商运营）培训21人，其中15人通过鉴定考试。开展乡村工匠培育170人。在中职学校开展电子商务师技能等级认定工作认定97人，茶艺师认定73人，累计获证162人。</w:t>
      </w:r>
    </w:p>
    <w:p>
      <w:pPr>
        <w:spacing w:line="600" w:lineRule="exact"/>
        <w:ind w:firstLine="643" w:firstLineChars="200"/>
        <w:rPr>
          <w:rFonts w:hint="eastAsia" w:ascii="仿宋_GB2312" w:hAnsi="仿宋_GB2312" w:eastAsia="仿宋_GB2312" w:cs="仿宋_GB2312"/>
          <w:b/>
          <w:bCs/>
          <w:color w:val="auto"/>
          <w:sz w:val="32"/>
          <w:szCs w:val="32"/>
          <w:shd w:val="clear" w:color="auto" w:fill="FFFFFF"/>
        </w:rPr>
      </w:pPr>
      <w:r>
        <w:rPr>
          <w:rFonts w:hint="eastAsia" w:ascii="仿宋_GB2312" w:hAnsi="黑体" w:eastAsia="仿宋_GB2312"/>
          <w:b/>
          <w:bCs/>
          <w:color w:val="auto"/>
          <w:sz w:val="32"/>
          <w:szCs w:val="32"/>
        </w:rPr>
        <w:t>四、</w:t>
      </w:r>
      <w:r>
        <w:rPr>
          <w:rFonts w:hint="eastAsia" w:ascii="仿宋_GB2312" w:hAnsi="仿宋_GB2312" w:eastAsia="仿宋_GB2312" w:cs="仿宋_GB2312"/>
          <w:b/>
          <w:bCs/>
          <w:color w:val="auto"/>
          <w:sz w:val="32"/>
          <w:szCs w:val="32"/>
          <w:shd w:val="clear" w:color="auto" w:fill="FFFFFF"/>
        </w:rPr>
        <w:t>固定资产方面</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color w:val="000000" w:themeColor="text1"/>
          <w:sz w:val="32"/>
          <w:szCs w:val="32"/>
        </w:rPr>
        <w:t>2</w:t>
      </w:r>
      <w:r>
        <w:rPr>
          <w:rFonts w:ascii="仿宋_GB2312" w:eastAsia="仿宋_GB2312"/>
          <w:color w:val="000000" w:themeColor="text1"/>
          <w:sz w:val="32"/>
          <w:szCs w:val="32"/>
        </w:rPr>
        <w:t>023</w:t>
      </w:r>
      <w:r>
        <w:rPr>
          <w:rFonts w:hint="eastAsia" w:ascii="仿宋_GB2312" w:eastAsia="仿宋_GB2312"/>
          <w:color w:val="000000" w:themeColor="text1"/>
          <w:sz w:val="32"/>
          <w:szCs w:val="32"/>
        </w:rPr>
        <w:t>年资产总额</w:t>
      </w:r>
      <w:r>
        <w:rPr>
          <w:rFonts w:hint="eastAsia" w:ascii="仿宋_GB2312" w:eastAsia="仿宋_GB2312"/>
          <w:sz w:val="32"/>
          <w:szCs w:val="32"/>
          <w:lang w:val="en-US" w:eastAsia="zh-CN"/>
        </w:rPr>
        <w:t>517.62</w:t>
      </w:r>
      <w:r>
        <w:rPr>
          <w:rFonts w:hint="eastAsia" w:ascii="仿宋_GB2312" w:eastAsia="仿宋_GB2312"/>
          <w:sz w:val="32"/>
          <w:szCs w:val="32"/>
        </w:rPr>
        <w:t>万元，较上年</w:t>
      </w:r>
      <w:r>
        <w:rPr>
          <w:rFonts w:hint="eastAsia" w:ascii="仿宋_GB2312" w:eastAsia="仿宋_GB2312"/>
          <w:sz w:val="32"/>
          <w:szCs w:val="32"/>
          <w:lang w:val="en-US" w:eastAsia="zh-CN"/>
        </w:rPr>
        <w:t>减少88.49</w:t>
      </w:r>
      <w:r>
        <w:rPr>
          <w:rFonts w:hint="eastAsia" w:ascii="仿宋_GB2312" w:eastAsia="仿宋_GB2312"/>
          <w:sz w:val="32"/>
          <w:szCs w:val="32"/>
        </w:rPr>
        <w:t>万元，同比</w:t>
      </w:r>
      <w:r>
        <w:rPr>
          <w:rFonts w:hint="eastAsia" w:ascii="仿宋_GB2312" w:eastAsia="仿宋_GB2312"/>
          <w:sz w:val="32"/>
          <w:szCs w:val="32"/>
          <w:lang w:val="en-US" w:eastAsia="zh-CN"/>
        </w:rPr>
        <w:t>下降14.60</w:t>
      </w:r>
      <w:r>
        <w:rPr>
          <w:rFonts w:hint="eastAsia" w:ascii="仿宋_GB2312" w:eastAsia="仿宋_GB2312"/>
          <w:sz w:val="32"/>
          <w:szCs w:val="32"/>
        </w:rPr>
        <w:t>%；负债</w:t>
      </w:r>
      <w:r>
        <w:rPr>
          <w:rFonts w:hint="eastAsia" w:ascii="仿宋_GB2312" w:eastAsia="仿宋_GB2312"/>
          <w:color w:val="000000" w:themeColor="text1"/>
          <w:sz w:val="32"/>
          <w:szCs w:val="32"/>
        </w:rPr>
        <w:t>总额</w:t>
      </w:r>
      <w:r>
        <w:rPr>
          <w:rFonts w:hint="eastAsia" w:ascii="仿宋_GB2312" w:eastAsia="仿宋_GB2312"/>
          <w:sz w:val="32"/>
          <w:szCs w:val="32"/>
          <w:lang w:val="en-US" w:eastAsia="zh-CN"/>
        </w:rPr>
        <w:t>1.82</w:t>
      </w:r>
      <w:r>
        <w:rPr>
          <w:rFonts w:hint="eastAsia" w:ascii="仿宋_GB2312" w:eastAsia="仿宋_GB2312"/>
          <w:sz w:val="32"/>
          <w:szCs w:val="32"/>
        </w:rPr>
        <w:t>万元，较上年</w:t>
      </w:r>
      <w:r>
        <w:rPr>
          <w:rFonts w:hint="eastAsia" w:ascii="仿宋_GB2312" w:eastAsia="仿宋_GB2312"/>
          <w:sz w:val="32"/>
          <w:szCs w:val="32"/>
          <w:lang w:val="en-US" w:eastAsia="zh-CN"/>
        </w:rPr>
        <w:t>减少12.74</w:t>
      </w:r>
      <w:r>
        <w:rPr>
          <w:rFonts w:hint="eastAsia" w:ascii="仿宋_GB2312" w:eastAsia="仿宋_GB2312"/>
          <w:sz w:val="32"/>
          <w:szCs w:val="32"/>
        </w:rPr>
        <w:t>万元，同比</w:t>
      </w:r>
      <w:r>
        <w:rPr>
          <w:rFonts w:hint="eastAsia" w:ascii="仿宋_GB2312" w:eastAsia="仿宋_GB2312"/>
          <w:sz w:val="32"/>
          <w:szCs w:val="32"/>
          <w:lang w:val="en-US" w:eastAsia="zh-CN"/>
        </w:rPr>
        <w:t>下降87.48</w:t>
      </w:r>
      <w:r>
        <w:rPr>
          <w:rFonts w:hint="eastAsia" w:ascii="仿宋_GB2312" w:eastAsia="仿宋_GB2312"/>
          <w:sz w:val="32"/>
          <w:szCs w:val="32"/>
        </w:rPr>
        <w:t>%；净资产总额</w:t>
      </w:r>
      <w:r>
        <w:rPr>
          <w:rFonts w:hint="eastAsia" w:ascii="仿宋_GB2312" w:eastAsia="仿宋_GB2312"/>
          <w:sz w:val="32"/>
          <w:szCs w:val="32"/>
          <w:lang w:val="en-US" w:eastAsia="zh-CN"/>
        </w:rPr>
        <w:t>515.79</w:t>
      </w:r>
      <w:r>
        <w:rPr>
          <w:rFonts w:hint="eastAsia" w:ascii="仿宋_GB2312" w:eastAsia="仿宋_GB2312"/>
          <w:sz w:val="32"/>
          <w:szCs w:val="32"/>
        </w:rPr>
        <w:t>万元，较上年</w:t>
      </w:r>
      <w:r>
        <w:rPr>
          <w:rFonts w:hint="eastAsia" w:ascii="仿宋_GB2312" w:eastAsia="仿宋_GB2312"/>
          <w:sz w:val="32"/>
          <w:szCs w:val="32"/>
          <w:lang w:val="en-US" w:eastAsia="zh-CN"/>
        </w:rPr>
        <w:t>减少75.75</w:t>
      </w:r>
      <w:r>
        <w:rPr>
          <w:rFonts w:hint="eastAsia" w:ascii="仿宋_GB2312" w:eastAsia="仿宋_GB2312"/>
          <w:sz w:val="32"/>
          <w:szCs w:val="32"/>
        </w:rPr>
        <w:t>万元，同比</w:t>
      </w:r>
      <w:r>
        <w:rPr>
          <w:rFonts w:hint="eastAsia" w:ascii="仿宋_GB2312" w:eastAsia="仿宋_GB2312"/>
          <w:sz w:val="32"/>
          <w:szCs w:val="32"/>
          <w:lang w:val="en-US" w:eastAsia="zh-CN"/>
        </w:rPr>
        <w:t>下降12.81</w:t>
      </w:r>
      <w:r>
        <w:rPr>
          <w:rFonts w:hint="eastAsia" w:ascii="仿宋_GB2312" w:eastAsia="仿宋_GB2312"/>
          <w:sz w:val="32"/>
          <w:szCs w:val="32"/>
        </w:rPr>
        <w:t>%。</w:t>
      </w:r>
      <w:r>
        <w:rPr>
          <w:rFonts w:hint="eastAsia" w:ascii="仿宋_GB2312" w:eastAsia="仿宋_GB2312"/>
          <w:color w:val="000000" w:themeColor="text1"/>
          <w:sz w:val="32"/>
          <w:szCs w:val="32"/>
        </w:rPr>
        <w:t>2</w:t>
      </w:r>
      <w:r>
        <w:rPr>
          <w:rFonts w:ascii="仿宋_GB2312" w:eastAsia="仿宋_GB2312"/>
          <w:color w:val="000000" w:themeColor="text1"/>
          <w:sz w:val="32"/>
          <w:szCs w:val="32"/>
        </w:rPr>
        <w:t>023</w:t>
      </w:r>
      <w:r>
        <w:rPr>
          <w:rFonts w:hint="eastAsia" w:ascii="仿宋_GB2312" w:eastAsia="仿宋_GB2312"/>
          <w:color w:val="000000" w:themeColor="text1"/>
          <w:sz w:val="32"/>
          <w:szCs w:val="32"/>
        </w:rPr>
        <w:t>年</w:t>
      </w:r>
      <w:r>
        <w:rPr>
          <w:rFonts w:hint="eastAsia" w:ascii="仿宋_GB2312" w:eastAsia="仿宋_GB2312"/>
          <w:sz w:val="32"/>
          <w:szCs w:val="32"/>
        </w:rPr>
        <w:t>固定资产构成情况：房屋和构筑物净值</w:t>
      </w:r>
      <w:r>
        <w:rPr>
          <w:rFonts w:hint="eastAsia" w:ascii="仿宋_GB2312" w:eastAsia="仿宋_GB2312"/>
          <w:sz w:val="32"/>
          <w:szCs w:val="32"/>
          <w:lang w:val="en-US" w:eastAsia="zh-CN"/>
        </w:rPr>
        <w:t>354.20</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84.22</w:t>
      </w:r>
      <w:r>
        <w:rPr>
          <w:rFonts w:hint="eastAsia" w:ascii="仿宋_GB2312" w:eastAsia="仿宋_GB2312" w:cs="仿宋_GB2312"/>
          <w:sz w:val="32"/>
          <w:szCs w:val="32"/>
        </w:rPr>
        <w:t>%</w:t>
      </w:r>
      <w:r>
        <w:rPr>
          <w:rFonts w:hint="eastAsia" w:ascii="仿宋_GB2312" w:eastAsia="仿宋_GB2312"/>
          <w:sz w:val="32"/>
          <w:szCs w:val="32"/>
        </w:rPr>
        <w:t>；设备净值</w:t>
      </w:r>
      <w:r>
        <w:rPr>
          <w:rFonts w:hint="eastAsia" w:ascii="仿宋_GB2312" w:eastAsia="仿宋_GB2312"/>
          <w:sz w:val="32"/>
          <w:szCs w:val="32"/>
          <w:lang w:val="en-US" w:eastAsia="zh-CN"/>
        </w:rPr>
        <w:t>42.64</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10.14</w:t>
      </w:r>
      <w:r>
        <w:rPr>
          <w:rFonts w:hint="eastAsia" w:ascii="仿宋_GB2312" w:eastAsia="仿宋_GB2312" w:cs="仿宋_GB2312"/>
          <w:sz w:val="32"/>
          <w:szCs w:val="32"/>
        </w:rPr>
        <w:t>%（其中车辆</w:t>
      </w:r>
      <w:r>
        <w:rPr>
          <w:rFonts w:hint="eastAsia" w:ascii="仿宋_GB2312" w:eastAsia="仿宋_GB2312"/>
          <w:sz w:val="32"/>
          <w:szCs w:val="32"/>
          <w:lang w:val="en-US" w:eastAsia="zh-CN"/>
        </w:rPr>
        <w:t>0</w:t>
      </w:r>
      <w:r>
        <w:rPr>
          <w:rFonts w:hint="eastAsia" w:ascii="仿宋_GB2312" w:eastAsia="仿宋_GB2312" w:cs="仿宋_GB2312"/>
          <w:sz w:val="32"/>
          <w:szCs w:val="32"/>
        </w:rPr>
        <w:t>万元，占固定资产总额的</w:t>
      </w:r>
      <w:r>
        <w:rPr>
          <w:rFonts w:hint="eastAsia" w:ascii="仿宋_GB2312" w:eastAsia="仿宋_GB2312"/>
          <w:sz w:val="32"/>
          <w:szCs w:val="32"/>
          <w:lang w:val="en-US" w:eastAsia="zh-CN"/>
        </w:rPr>
        <w:t>0</w:t>
      </w:r>
      <w:r>
        <w:rPr>
          <w:rFonts w:hint="eastAsia" w:ascii="仿宋_GB2312" w:eastAsia="仿宋_GB2312" w:cs="仿宋_GB2312"/>
          <w:sz w:val="32"/>
          <w:szCs w:val="32"/>
        </w:rPr>
        <w:t>%，单价100万元（含）以上设备</w:t>
      </w:r>
      <w:r>
        <w:rPr>
          <w:rFonts w:hint="eastAsia" w:ascii="仿宋_GB2312" w:eastAsia="仿宋_GB2312"/>
          <w:sz w:val="32"/>
          <w:szCs w:val="32"/>
          <w:lang w:val="en-US" w:eastAsia="zh-CN"/>
        </w:rPr>
        <w:t>0</w:t>
      </w:r>
      <w:r>
        <w:rPr>
          <w:rFonts w:hint="eastAsia" w:ascii="仿宋_GB2312" w:eastAsia="仿宋_GB2312" w:cs="仿宋_GB2312"/>
          <w:sz w:val="32"/>
          <w:szCs w:val="32"/>
        </w:rPr>
        <w:t>万元，占固定资产总额的</w:t>
      </w:r>
      <w:r>
        <w:rPr>
          <w:rFonts w:hint="eastAsia" w:ascii="仿宋_GB2312" w:eastAsia="仿宋_GB2312"/>
          <w:sz w:val="32"/>
          <w:szCs w:val="32"/>
          <w:lang w:val="en-US" w:eastAsia="zh-CN"/>
        </w:rPr>
        <w:t>0</w:t>
      </w:r>
      <w:r>
        <w:rPr>
          <w:rFonts w:hint="eastAsia" w:ascii="仿宋_GB2312" w:eastAsia="仿宋_GB2312" w:cs="仿宋_GB2312"/>
          <w:sz w:val="32"/>
          <w:szCs w:val="32"/>
        </w:rPr>
        <w:t>%）</w:t>
      </w:r>
      <w:r>
        <w:rPr>
          <w:rFonts w:hint="eastAsia" w:ascii="仿宋_GB2312" w:eastAsia="仿宋_GB2312"/>
          <w:sz w:val="32"/>
          <w:szCs w:val="32"/>
        </w:rPr>
        <w:t>；文物和陈列品净值</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0</w:t>
      </w:r>
      <w:r>
        <w:rPr>
          <w:rFonts w:hint="eastAsia" w:ascii="仿宋_GB2312" w:eastAsia="仿宋_GB2312" w:cs="仿宋_GB2312"/>
          <w:sz w:val="32"/>
          <w:szCs w:val="32"/>
        </w:rPr>
        <w:t>%</w:t>
      </w:r>
      <w:r>
        <w:rPr>
          <w:rFonts w:hint="eastAsia" w:ascii="仿宋_GB2312" w:eastAsia="仿宋_GB2312"/>
          <w:sz w:val="32"/>
          <w:szCs w:val="32"/>
        </w:rPr>
        <w:t>；图书和档案净值</w:t>
      </w:r>
      <w:r>
        <w:rPr>
          <w:rFonts w:hint="eastAsia" w:ascii="仿宋_GB2312" w:eastAsia="仿宋_GB2312"/>
          <w:sz w:val="32"/>
          <w:szCs w:val="32"/>
          <w:lang w:val="en-US" w:eastAsia="zh-CN"/>
        </w:rPr>
        <w:t>1.10</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0.26</w:t>
      </w:r>
      <w:r>
        <w:rPr>
          <w:rFonts w:hint="eastAsia" w:ascii="仿宋_GB2312" w:eastAsia="仿宋_GB2312" w:cs="仿宋_GB2312"/>
          <w:sz w:val="32"/>
          <w:szCs w:val="32"/>
        </w:rPr>
        <w:t>%</w:t>
      </w:r>
      <w:r>
        <w:rPr>
          <w:rFonts w:hint="eastAsia" w:ascii="仿宋_GB2312" w:eastAsia="仿宋_GB2312"/>
          <w:sz w:val="32"/>
          <w:szCs w:val="32"/>
        </w:rPr>
        <w:t>；家具和用具净值</w:t>
      </w:r>
      <w:r>
        <w:rPr>
          <w:rFonts w:hint="eastAsia" w:ascii="仿宋_GB2312" w:eastAsia="仿宋_GB2312"/>
          <w:sz w:val="32"/>
          <w:szCs w:val="32"/>
          <w:lang w:val="en-US" w:eastAsia="zh-CN"/>
        </w:rPr>
        <w:t>22.63</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5.38</w:t>
      </w:r>
      <w:r>
        <w:rPr>
          <w:rFonts w:hint="eastAsia" w:ascii="仿宋_GB2312" w:eastAsia="仿宋_GB2312" w:cs="仿宋_GB2312"/>
          <w:sz w:val="32"/>
          <w:szCs w:val="32"/>
        </w:rPr>
        <w:t>%</w:t>
      </w:r>
      <w:r>
        <w:rPr>
          <w:rFonts w:hint="eastAsia" w:ascii="仿宋_GB2312" w:eastAsia="仿宋_GB2312"/>
          <w:sz w:val="32"/>
          <w:szCs w:val="32"/>
        </w:rPr>
        <w:t>；特种动植物净值</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cs="仿宋_GB2312"/>
          <w:sz w:val="32"/>
          <w:szCs w:val="32"/>
        </w:rPr>
        <w:t>占固定资产总额的</w:t>
      </w:r>
      <w:r>
        <w:rPr>
          <w:rFonts w:hint="eastAsia" w:ascii="仿宋_GB2312" w:eastAsia="仿宋_GB2312"/>
          <w:sz w:val="32"/>
          <w:szCs w:val="32"/>
          <w:lang w:val="en-US" w:eastAsia="zh-CN"/>
        </w:rPr>
        <w:t>0</w:t>
      </w:r>
      <w:r>
        <w:rPr>
          <w:rFonts w:hint="eastAsia" w:ascii="仿宋_GB2312" w:eastAsia="仿宋_GB2312" w:cs="仿宋_GB2312"/>
          <w:sz w:val="32"/>
          <w:szCs w:val="32"/>
        </w:rPr>
        <w:t>%</w:t>
      </w:r>
      <w:r>
        <w:rPr>
          <w:rFonts w:hint="eastAsia" w:ascii="仿宋_GB2312" w:eastAsia="仿宋_GB2312"/>
          <w:sz w:val="32"/>
          <w:szCs w:val="32"/>
        </w:rPr>
        <w:t>。</w:t>
      </w:r>
      <w:r>
        <w:rPr>
          <w:rFonts w:hint="eastAsia" w:ascii="仿宋_GB2312" w:eastAsia="仿宋_GB2312"/>
          <w:color w:val="000000" w:themeColor="text1"/>
          <w:sz w:val="32"/>
          <w:szCs w:val="32"/>
        </w:rPr>
        <w:t>本年度配置资产总原值</w:t>
      </w:r>
      <w:r>
        <w:rPr>
          <w:rFonts w:hint="eastAsia" w:ascii="仿宋_GB2312" w:eastAsia="仿宋_GB2312"/>
          <w:sz w:val="32"/>
          <w:szCs w:val="32"/>
          <w:lang w:val="en-US" w:eastAsia="zh-CN"/>
        </w:rPr>
        <w:t>7.26</w:t>
      </w:r>
      <w:r>
        <w:rPr>
          <w:rFonts w:hint="eastAsia" w:ascii="仿宋_GB2312" w:eastAsia="仿宋_GB2312"/>
          <w:color w:val="000000" w:themeColor="text1"/>
          <w:sz w:val="32"/>
          <w:szCs w:val="32"/>
        </w:rPr>
        <w:t>万元，主要配置原因是：</w:t>
      </w:r>
      <w:r>
        <w:rPr>
          <w:rFonts w:hint="eastAsia" w:ascii="仿宋_GB2312" w:eastAsia="仿宋_GB2312"/>
          <w:color w:val="000000" w:themeColor="text1"/>
          <w:sz w:val="32"/>
          <w:szCs w:val="32"/>
          <w:lang w:eastAsia="zh-CN"/>
        </w:rPr>
        <w:t>用于购买办公设施设备</w:t>
      </w:r>
      <w:r>
        <w:rPr>
          <w:rFonts w:hint="eastAsia" w:ascii="仿宋_GB2312" w:eastAsia="仿宋_GB2312"/>
          <w:color w:val="000000" w:themeColor="text1"/>
          <w:sz w:val="32"/>
          <w:szCs w:val="32"/>
        </w:rPr>
        <w:t>。其中新购</w:t>
      </w:r>
      <w:r>
        <w:rPr>
          <w:rFonts w:hint="eastAsia" w:ascii="仿宋_GB2312" w:eastAsia="仿宋_GB2312"/>
          <w:sz w:val="32"/>
          <w:szCs w:val="32"/>
          <w:lang w:val="en-US" w:eastAsia="zh-CN"/>
        </w:rPr>
        <w:t>7.26</w:t>
      </w:r>
      <w:r>
        <w:rPr>
          <w:rFonts w:hint="eastAsia" w:ascii="仿宋_GB2312" w:eastAsia="仿宋_GB2312"/>
          <w:color w:val="000000" w:themeColor="text1"/>
          <w:sz w:val="32"/>
          <w:szCs w:val="32"/>
        </w:rPr>
        <w:t>万元，占配置资产的</w:t>
      </w:r>
      <w:r>
        <w:rPr>
          <w:rFonts w:hint="eastAsia" w:ascii="仿宋_GB2312" w:eastAsia="仿宋_GB2312"/>
          <w:sz w:val="32"/>
          <w:szCs w:val="32"/>
          <w:lang w:val="en-US" w:eastAsia="zh-CN"/>
        </w:rPr>
        <w:t>100</w:t>
      </w:r>
      <w:r>
        <w:rPr>
          <w:rFonts w:ascii="仿宋_GB2312" w:eastAsia="仿宋_GB2312"/>
          <w:color w:val="000000" w:themeColor="text1"/>
          <w:sz w:val="32"/>
          <w:szCs w:val="32"/>
        </w:rPr>
        <w:t>%</w:t>
      </w:r>
      <w:r>
        <w:rPr>
          <w:rFonts w:hint="eastAsia" w:ascii="仿宋_GB2312" w:eastAsia="仿宋_GB2312"/>
          <w:color w:val="000000" w:themeColor="text1"/>
          <w:sz w:val="32"/>
          <w:szCs w:val="32"/>
          <w:lang w:eastAsia="zh-CN"/>
        </w:rPr>
        <w:t>。</w:t>
      </w:r>
    </w:p>
    <w:p>
      <w:pPr>
        <w:pStyle w:val="14"/>
        <w:widowControl/>
        <w:spacing w:line="600" w:lineRule="exact"/>
        <w:ind w:firstLine="640"/>
        <w:rPr>
          <w:rFonts w:ascii="方正仿宋简体" w:hAnsi="方正仿宋简体" w:eastAsia="方正仿宋简体" w:cs="方正仿宋简体"/>
          <w:b/>
          <w:bCs/>
          <w:kern w:val="0"/>
        </w:rPr>
      </w:pPr>
      <w:r>
        <w:rPr>
          <w:rFonts w:hint="eastAsia" w:ascii="方正仿宋简体" w:hAnsi="方正仿宋简体" w:eastAsia="方正仿宋简体" w:cs="方正仿宋简体"/>
          <w:b/>
          <w:bCs/>
          <w:kern w:val="0"/>
        </w:rPr>
        <w:t>五、存在主要问题和困难</w:t>
      </w:r>
    </w:p>
    <w:p>
      <w:pPr>
        <w:keepNext w:val="0"/>
        <w:keepLines w:val="0"/>
        <w:pageBreakBefore w:val="0"/>
        <w:widowControl w:val="0"/>
        <w:kinsoku/>
        <w:wordWrap w:val="0"/>
        <w:overflowPunct/>
        <w:topLinePunct w:val="0"/>
        <w:autoSpaceDE/>
        <w:autoSpaceDN/>
        <w:bidi w:val="0"/>
        <w:adjustRightInd/>
        <w:snapToGrid/>
        <w:spacing w:line="540" w:lineRule="exact"/>
        <w:ind w:left="0" w:firstLine="643" w:firstLineChars="200"/>
        <w:jc w:val="both"/>
        <w:textAlignment w:val="auto"/>
        <w:outlineLvl w:val="9"/>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1.结构性就业矛盾突出，主要表现为“就业难”与“招工难”并存。</w:t>
      </w:r>
      <w:r>
        <w:rPr>
          <w:rFonts w:hint="eastAsia" w:ascii="仿宋_GB2312" w:hAnsi="仿宋_GB2312" w:eastAsia="仿宋_GB2312" w:cs="仿宋_GB2312"/>
          <w:b w:val="0"/>
          <w:bCs w:val="0"/>
          <w:color w:val="auto"/>
          <w:kern w:val="2"/>
          <w:sz w:val="32"/>
          <w:szCs w:val="32"/>
          <w:highlight w:val="none"/>
          <w:lang w:val="en-US" w:eastAsia="zh-CN" w:bidi="ar-SA"/>
        </w:rPr>
        <w:t>一是企业员工流动性大。员工出于薪酬待遇、工作环境等因素的考虑，经常性变更就职企业。二是供需结构不匹配。我县制造业企业占比重，对技工、研发工程师等技术研发人员需求量较大，县内中职学校培养技能人才的能力有限，不能精准匹配需求；再者，我县属于粤北地区，经济水平相对比较落后，各项补贴跟优惠政策的力度有限，对于研发类高技能人才的引才、留才的作用有待进一步加强。</w:t>
      </w:r>
    </w:p>
    <w:p>
      <w:pPr>
        <w:keepNext w:val="0"/>
        <w:keepLines w:val="0"/>
        <w:pageBreakBefore w:val="0"/>
        <w:widowControl w:val="0"/>
        <w:kinsoku/>
        <w:wordWrap w:val="0"/>
        <w:overflowPunct/>
        <w:topLinePunct w:val="0"/>
        <w:autoSpaceDE/>
        <w:autoSpaceDN/>
        <w:bidi w:val="0"/>
        <w:adjustRightInd/>
        <w:snapToGrid/>
        <w:spacing w:line="540" w:lineRule="exact"/>
        <w:ind w:left="0" w:firstLine="643" w:firstLineChars="200"/>
        <w:jc w:val="both"/>
        <w:textAlignment w:val="auto"/>
        <w:outlineLvl w:val="9"/>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2.社保扩面征缴工作难度较大。</w:t>
      </w:r>
      <w:r>
        <w:rPr>
          <w:rFonts w:hint="eastAsia" w:ascii="仿宋_GB2312" w:hAnsi="仿宋_GB2312" w:eastAsia="仿宋_GB2312" w:cs="仿宋_GB2312"/>
          <w:b w:val="0"/>
          <w:bCs w:val="0"/>
          <w:color w:val="auto"/>
          <w:kern w:val="2"/>
          <w:sz w:val="32"/>
          <w:szCs w:val="32"/>
          <w:highlight w:val="none"/>
          <w:lang w:val="en-US" w:eastAsia="zh-CN" w:bidi="ar-SA"/>
        </w:rPr>
        <w:t>一是全县灵活就业人员和个体工商户从业人员由于收入不高、自身认识不足等原因，参保率不高，多数居民仍选择参加城乡居民基本养老保险。二是存在企业随着经营压力的增大，可能会出现为降低参保成本而压减工作岗位的情况。</w:t>
      </w:r>
    </w:p>
    <w:p>
      <w:pPr>
        <w:pStyle w:val="9"/>
        <w:keepNext w:val="0"/>
        <w:keepLines w:val="0"/>
        <w:pageBreakBefore w:val="0"/>
        <w:widowControl w:val="0"/>
        <w:kinsoku/>
        <w:overflowPunct/>
        <w:topLinePunct w:val="0"/>
        <w:autoSpaceDE/>
        <w:autoSpaceDN/>
        <w:bidi w:val="0"/>
        <w:adjustRightInd/>
        <w:snapToGrid/>
        <w:spacing w:line="540" w:lineRule="exact"/>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3.完成青年人才任务有难度。</w:t>
      </w:r>
      <w:r>
        <w:rPr>
          <w:rFonts w:hint="eastAsia" w:ascii="仿宋_GB2312" w:hAnsi="仿宋_GB2312" w:eastAsia="仿宋_GB2312" w:cs="仿宋_GB2312"/>
          <w:b w:val="0"/>
          <w:bCs w:val="0"/>
          <w:color w:val="auto"/>
          <w:kern w:val="2"/>
          <w:sz w:val="32"/>
          <w:szCs w:val="32"/>
          <w:highlight w:val="none"/>
          <w:lang w:val="en-US" w:eastAsia="zh-CN" w:bidi="ar-SA"/>
        </w:rPr>
        <w:t>一是教育、医疗卫生类高层次人才招聘难，到岗率低。青年人才认定要求必须是在国际知名学府或国家、省属重点大学毕业的硕士研究生，党政储备类研究生不属于5大类岗位不能认定。二是创新创业人才、专业技术人才认定条件高，且由第三方择优排名评选，全市评选名额逐年减少。摸排我县符合申请条件且具有竞争性的人员较少。</w:t>
      </w:r>
    </w:p>
    <w:p>
      <w:pPr>
        <w:keepNext w:val="0"/>
        <w:keepLines w:val="0"/>
        <w:pageBreakBefore w:val="0"/>
        <w:widowControl w:val="0"/>
        <w:kinsoku/>
        <w:wordWrap w:val="0"/>
        <w:overflowPunct/>
        <w:topLinePunct w:val="0"/>
        <w:autoSpaceDE/>
        <w:autoSpaceDN/>
        <w:bidi w:val="0"/>
        <w:adjustRightInd/>
        <w:snapToGrid/>
        <w:spacing w:line="540" w:lineRule="exact"/>
        <w:ind w:left="0" w:firstLine="643" w:firstLineChars="200"/>
        <w:jc w:val="both"/>
        <w:textAlignment w:val="auto"/>
        <w:outlineLvl w:val="9"/>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4.事业单位引才留才难。</w:t>
      </w:r>
      <w:r>
        <w:rPr>
          <w:rFonts w:hint="eastAsia" w:ascii="仿宋_GB2312" w:hAnsi="仿宋_GB2312" w:eastAsia="仿宋_GB2312" w:cs="仿宋_GB2312"/>
          <w:b w:val="0"/>
          <w:bCs w:val="0"/>
          <w:color w:val="auto"/>
          <w:kern w:val="2"/>
          <w:sz w:val="32"/>
          <w:szCs w:val="32"/>
          <w:highlight w:val="none"/>
          <w:lang w:val="en-US" w:eastAsia="zh-CN" w:bidi="ar-SA"/>
        </w:rPr>
        <w:t>一是部分紧缺专业岗位无人报考或报考人数较少，出现缺招情况，无法体现竞争、择优的原则。如卫生系统医生等岗位。二是跨县流动政策仍未出台、机构编制紧缺、岗位限制的背景下，条件合适的人才无法调整至匹配的岗位上。三是县级公开招聘对于服务年限的限制力度弱，人员流失较多。</w:t>
      </w:r>
    </w:p>
    <w:p>
      <w:pPr>
        <w:pStyle w:val="2"/>
        <w:keepNext w:val="0"/>
        <w:keepLines w:val="0"/>
        <w:pageBreakBefore w:val="0"/>
        <w:widowControl w:val="0"/>
        <w:kinsoku/>
        <w:wordWrap w:val="0"/>
        <w:overflowPunct/>
        <w:topLinePunct w:val="0"/>
        <w:autoSpaceDE/>
        <w:autoSpaceDN/>
        <w:bidi w:val="0"/>
        <w:adjustRightInd/>
        <w:snapToGrid/>
        <w:spacing w:after="0" w:line="540" w:lineRule="exact"/>
        <w:ind w:left="0" w:firstLine="643"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hAnsi="仿宋_GB2312" w:cs="仿宋_GB2312"/>
          <w:b/>
          <w:bCs/>
          <w:color w:val="auto"/>
          <w:kern w:val="2"/>
          <w:sz w:val="32"/>
          <w:szCs w:val="32"/>
          <w:highlight w:val="none"/>
          <w:lang w:val="en-US" w:eastAsia="zh-CN" w:bidi="ar-SA"/>
        </w:rPr>
        <w:t>5</w:t>
      </w:r>
      <w:r>
        <w:rPr>
          <w:rFonts w:hint="eastAsia" w:ascii="仿宋_GB2312" w:hAnsi="仿宋_GB2312" w:eastAsia="仿宋_GB2312" w:cs="仿宋_GB2312"/>
          <w:b/>
          <w:bCs/>
          <w:color w:val="auto"/>
          <w:kern w:val="2"/>
          <w:sz w:val="32"/>
          <w:szCs w:val="32"/>
          <w:highlight w:val="none"/>
          <w:lang w:val="en-US" w:eastAsia="zh-CN" w:bidi="ar-SA"/>
        </w:rPr>
        <w:t>.职业技能培训方面。</w:t>
      </w:r>
      <w:r>
        <w:rPr>
          <w:rFonts w:hint="eastAsia" w:ascii="仿宋_GB2312" w:hAnsi="仿宋_GB2312" w:eastAsia="仿宋_GB2312" w:cs="仿宋_GB2312"/>
          <w:b w:val="0"/>
          <w:bCs w:val="0"/>
          <w:color w:val="auto"/>
          <w:kern w:val="2"/>
          <w:sz w:val="32"/>
          <w:szCs w:val="32"/>
          <w:highlight w:val="none"/>
          <w:lang w:val="en-US" w:eastAsia="zh-CN" w:bidi="ar-SA"/>
        </w:rPr>
        <w:t>一是可发掘的培训生源越来越少。我县有劳动能力且在法定劳动年龄内的人员大多都外出务工，同时由于近年来参与“粤菜师傅”“南粤家政”等项目训获证也人数较多，目前可发掘的生源已越来越少，培训学员的招募难度大。</w:t>
      </w:r>
      <w:r>
        <w:rPr>
          <w:rFonts w:hint="eastAsia" w:hAnsi="仿宋_GB2312" w:cs="仿宋_GB2312"/>
          <w:b w:val="0"/>
          <w:bCs w:val="0"/>
          <w:color w:val="auto"/>
          <w:kern w:val="2"/>
          <w:sz w:val="32"/>
          <w:szCs w:val="32"/>
          <w:highlight w:val="none"/>
          <w:lang w:val="en-US" w:eastAsia="zh-CN" w:bidi="ar-SA"/>
        </w:rPr>
        <w:t>二是</w:t>
      </w:r>
      <w:r>
        <w:rPr>
          <w:rFonts w:hint="eastAsia" w:ascii="仿宋_GB2312" w:hAnsi="仿宋_GB2312" w:eastAsia="仿宋_GB2312" w:cs="仿宋_GB2312"/>
          <w:b w:val="0"/>
          <w:bCs w:val="0"/>
          <w:color w:val="auto"/>
          <w:kern w:val="2"/>
          <w:sz w:val="32"/>
          <w:szCs w:val="32"/>
          <w:highlight w:val="none"/>
          <w:lang w:val="en-US" w:eastAsia="zh-CN" w:bidi="ar-SA"/>
        </w:rPr>
        <w:t>政策条件发生变化。省厅下发了（粤人社规〔2023〕13号）《关于印发广东省职业技能培训补贴管理办法的通知》，培训政策较以往有较大变革，培训方向仍需下一步的文件支撑，集体申领需要开展项目制培训，目前项目制培训工种和相关规范还未明确，一定程度上影响了工作的开展。</w:t>
      </w:r>
    </w:p>
    <w:p>
      <w:pPr>
        <w:keepNext w:val="0"/>
        <w:keepLines w:val="0"/>
        <w:pageBreakBefore w:val="0"/>
        <w:widowControl w:val="0"/>
        <w:kinsoku/>
        <w:wordWrap w:val="0"/>
        <w:overflowPunct/>
        <w:topLinePunct w:val="0"/>
        <w:autoSpaceDE/>
        <w:autoSpaceDN/>
        <w:bidi w:val="0"/>
        <w:adjustRightInd/>
        <w:snapToGrid/>
        <w:spacing w:line="540" w:lineRule="exact"/>
        <w:ind w:left="0" w:firstLine="643" w:firstLineChars="200"/>
        <w:jc w:val="both"/>
        <w:textAlignment w:val="auto"/>
        <w:outlineLvl w:val="9"/>
        <w:rPr>
          <w:rFonts w:hint="eastAsia" w:ascii="仿宋_GB2312" w:hAnsi="宋体" w:eastAsia="仿宋_GB2312"/>
          <w:color w:val="auto"/>
          <w:spacing w:val="-6"/>
          <w:sz w:val="32"/>
          <w:szCs w:val="32"/>
          <w:highlight w:val="none"/>
        </w:rPr>
      </w:pPr>
      <w:r>
        <w:rPr>
          <w:rFonts w:hint="eastAsia" w:ascii="仿宋_GB2312" w:hAnsi="仿宋_GB2312" w:eastAsia="仿宋_GB2312" w:cs="仿宋_GB2312"/>
          <w:b/>
          <w:bCs/>
          <w:color w:val="auto"/>
          <w:kern w:val="2"/>
          <w:sz w:val="32"/>
          <w:szCs w:val="32"/>
          <w:highlight w:val="none"/>
          <w:lang w:val="en-US" w:eastAsia="zh-CN" w:bidi="ar-SA"/>
        </w:rPr>
        <w:t>6.劳资领域依然存在欠薪隐患。</w:t>
      </w:r>
      <w:r>
        <w:rPr>
          <w:rFonts w:hint="eastAsia" w:ascii="仿宋_GB2312" w:hAnsi="仿宋_GB2312" w:eastAsia="仿宋_GB2312" w:cs="仿宋_GB2312"/>
          <w:b w:val="0"/>
          <w:bCs w:val="0"/>
          <w:color w:val="auto"/>
          <w:kern w:val="2"/>
          <w:sz w:val="32"/>
          <w:szCs w:val="32"/>
          <w:highlight w:val="none"/>
          <w:lang w:val="en-US" w:eastAsia="zh-CN" w:bidi="ar-SA"/>
        </w:rPr>
        <w:t>一是在建项目实名制管理不够规范。个别施工单位实名制管理不严、工人工资支付分账制度落实不到位，工人工资、工程款一并拨付导致截留农民工工资情形。个别案件存在违法分包、转包，引起结算纠纷、工程超量等导致拖欠工人工资情形。二是合同缺陷引发工资结算问题。建设单位与施工单位承包合同不规范，结算约定存在缺陷，工程量结算时容易产生分歧，发包方与承包方之间相互推诿扯皮；劳动合同约定的工资结算方式为计量计价，工资发放时，因工程质量验收等问题无法及时核定工作量和实际工资金额，存在不能足额支付农民工工资的风险。三是政府投资项目资金拨付不到位问题。政府或国企投资项目存在资金不及时、不到位的情况，未能按照合同约定按时足额拨付工程款及人工费用，导致拖欠工人工资的情况时有发生，个别项目出现资金缺口也进行开工，甚至阶段性资金在还未立项审批的情况下就开始建设，配套和后期资金无法跟上，总包单位垫付能力有限，这类欠薪隐患积压下来往往呈现时间长、人数多、数额大的特点，而且容易引发层层转移的债务链。目前政府及国企投资项目欠薪投诉有较大反弹，住建、交通、市政领域等政府投资项目存在较大风险，所涉欠薪问题均呈现人数多、金额大、工人情绪不稳定等特点。</w:t>
      </w:r>
    </w:p>
    <w:p>
      <w:pPr>
        <w:pStyle w:val="14"/>
        <w:widowControl/>
        <w:spacing w:line="600" w:lineRule="exact"/>
        <w:ind w:firstLine="640"/>
        <w:rPr>
          <w:rFonts w:ascii="黑体" w:hAnsi="黑体" w:eastAsia="黑体"/>
          <w:kern w:val="0"/>
        </w:rPr>
      </w:pPr>
      <w:r>
        <w:rPr>
          <w:rFonts w:hint="eastAsia" w:ascii="黑体" w:hAnsi="黑体" w:eastAsia="黑体"/>
          <w:kern w:val="0"/>
        </w:rPr>
        <w:t>六、下一步工作计划</w:t>
      </w:r>
    </w:p>
    <w:p>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eastAsia="zh-CN"/>
        </w:rPr>
        <w:t>（一）以更实举措助企纾困稳就业，实现更充分更高质量就业。</w:t>
      </w:r>
      <w:r>
        <w:rPr>
          <w:rFonts w:hint="eastAsia" w:ascii="仿宋_GB2312" w:hAnsi="仿宋_GB2312" w:eastAsia="仿宋_GB2312" w:cs="仿宋_GB2312"/>
          <w:color w:val="auto"/>
          <w:sz w:val="32"/>
          <w:szCs w:val="32"/>
          <w:highlight w:val="none"/>
          <w:lang w:val="en-US" w:eastAsia="zh-CN"/>
        </w:rPr>
        <w:t>一是完善落实就业创业政策。深入实施3.0版市“促进就业十条”政策，持续开展“人社局长千企行”和“千名服务专员助万家企业”活动，掌握企业刚性用工需求，建立“一企一策”和用工台账。二是加大对重点群体的就业帮扶力度，建立需求清单，做到人员底数清、技能水平清、就业需求清和求职意愿清。对累计登记失业和就业困难人员期末数进行跟踪服务，继续推进乡镇就业困难人员再就业登记工作，加强对招用大龄失业群体的企业进行政策指引，对于通过市场难以实现就业的就业困难人员，统筹公益性岗位予以安置。三是加大各项补贴的宣传、审核发放工作力度。通过系统对比以及信息台账，对于符合补贴申请条件的个人和企业及时进行引导申领，推动惠企惠民政策落到实处。四是持续推进创业促就业专项行动，不断完善创业和就业培训服务体系。积极开展就业创业政策宣讲活动，加大创业担保贷款支持力度，重点扶持有创业意愿、具备一定创业条件但缺乏创业资金的就业重点群体和困难人员，实现自主创业。</w:t>
      </w:r>
    </w:p>
    <w:p>
      <w:pPr>
        <w:pStyle w:val="9"/>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color w:val="auto"/>
          <w:kern w:val="2"/>
          <w:sz w:val="32"/>
          <w:szCs w:val="32"/>
          <w:highlight w:val="none"/>
          <w:lang w:val="en-US" w:eastAsia="zh-CN" w:bidi="ar-SA"/>
        </w:rPr>
        <w:t>（二）以更高水平构建全民社保体系，不断满足人民对美好生活的向往。</w:t>
      </w:r>
      <w:r>
        <w:rPr>
          <w:rFonts w:hint="eastAsia" w:ascii="仿宋_GB2312" w:hAnsi="仿宋_GB2312" w:eastAsia="仿宋_GB2312" w:cs="仿宋_GB2312"/>
          <w:color w:val="auto"/>
          <w:sz w:val="32"/>
          <w:szCs w:val="32"/>
          <w:lang w:eastAsia="zh-CN"/>
        </w:rPr>
        <w:t>一是大力推进社保扩面征缴工作。深入实施全民参保计划，持续做好灵活就业人员、异地务工人员等重点群体精准扩面，继续落实好困难群体应保尽保和代缴政策，努力实现应保尽保、应收尽收，确保社保各项指标任务按时保质顺利完成。二是继续推进深化社保体制改革。按照上级部署落实企业职工基本养老保险全国统筹、失业保险和工伤保险基金省级统筹、配合推进城乡居保基金省级管理。稳妥推进机关事业单位养老保险制度改革，继续贯彻落实好新业态从业人员职业伤害保障试点工作。三是持续做好被征地农民养老保障工作。按照省、市新出台的文件落实新社保征地标准和规范工作流程，确保新报批征地项目的被征地农民养老保障资金按时按规做好缴费登记，保障被征地农民权益。四是做好工伤认定工作。严格按照有关法律法规和条例办事，不断完善工伤认定工作，优化工伤认定服务。加强业务学习和交流，全面提升股室人员的业务素质和综合能力。多种形式加大《工伤保险条例》宣传力度，切实提高企业和劳动者的参保意识、维权意识和劳动保护意识，减少工伤事故的发生。</w:t>
      </w:r>
    </w:p>
    <w:p>
      <w:pPr>
        <w:pStyle w:val="9"/>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color w:val="auto"/>
          <w:kern w:val="2"/>
          <w:sz w:val="32"/>
          <w:szCs w:val="32"/>
          <w:highlight w:val="none"/>
          <w:lang w:val="en-US" w:eastAsia="zh-CN" w:bidi="ar-SA"/>
        </w:rPr>
        <w:t>（三）以更高标准抓好人事人才服务工作，着力规范人事管理和壮大人才队伍。</w:t>
      </w:r>
      <w:r>
        <w:rPr>
          <w:rFonts w:hint="eastAsia" w:ascii="仿宋_GB2312" w:hAnsi="仿宋_GB2312" w:eastAsia="仿宋_GB2312" w:cs="仿宋_GB2312"/>
          <w:color w:val="auto"/>
          <w:sz w:val="32"/>
          <w:szCs w:val="32"/>
          <w:lang w:eastAsia="zh-CN"/>
        </w:rPr>
        <w:t>一是持续完善事业单位人事管理。安全有序组织事业单位集中公开招聘等各类人事考试。持续做好县以下事业单位管理岗位职员等级晋升制度改革工作。统筹规范事业单位有关工资收入待遇，落实机关事业单位工作人员基本工资正常增长机制，进一步完善事业单位绩效工资制度，全面推动公立医院薪酬制度改革工作。二是全力优化人才发展环境。认真落实韶关市新时代“百团千才万匠”人才工程，落实好“丹霞英才”“韶州工匠”计划。继续做好“三支一扶”、就业见习的服务管理工作，助力乡村振兴。三是全面优化人才服务保障。及时做好各项人才待遇发放工作，积极拓宽引才渠道，大力吸引和集聚各类人才来乳创新创业。加强人才驿站建设，提高人才驿站运营管理水平。</w:t>
      </w:r>
    </w:p>
    <w:p>
      <w:pPr>
        <w:pStyle w:val="9"/>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kern w:val="2"/>
          <w:sz w:val="32"/>
          <w:szCs w:val="32"/>
          <w:highlight w:val="none"/>
          <w:lang w:val="en-US" w:eastAsia="zh-CN" w:bidi="ar-SA"/>
        </w:rPr>
        <w:t>（四）以更高起点擦亮特色品牌，持续推动三项工程高质量发展。</w:t>
      </w:r>
      <w:r>
        <w:rPr>
          <w:rFonts w:hint="eastAsia" w:ascii="仿宋_GB2312" w:hAnsi="仿宋_GB2312" w:eastAsia="仿宋_GB2312" w:cs="仿宋_GB2312"/>
          <w:color w:val="auto"/>
          <w:sz w:val="32"/>
          <w:szCs w:val="32"/>
          <w:lang w:val="en-US" w:eastAsia="zh-CN"/>
        </w:rPr>
        <w:t>一是进一步加强组织领导，明确专人负责，切实负起工作职责，合力推进三项工程高质量发展，确保完成下达的工作目标任务，强化民生实事落地，持续推进“粤菜师傅”“广东技工”“南粤家政”三项工程职业技能培训工作，促进技能人才全面发展。二是统筹使用职业技能提升行动资金、促进就业创业发展专项资金、县级部门预算资金等，保障职业教育发展、技能竞赛开展、基层服务示范基地建设等经费。在没有省级资金的情况下，建议县级给予一定的配套资金用于“粤菜师傅”或者“南粤家政”的技能竞赛，促进以赛选才，以赛促培。做好职业技能培训和评价专项整治工作，并以此为锲机加强资金监管，确保资金安全，提高使用效益。</w:t>
      </w:r>
    </w:p>
    <w:p>
      <w:pPr>
        <w:pStyle w:val="9"/>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kern w:val="2"/>
          <w:sz w:val="32"/>
          <w:szCs w:val="32"/>
          <w:highlight w:val="none"/>
          <w:lang w:val="en-US" w:eastAsia="zh-CN" w:bidi="ar-SA"/>
        </w:rPr>
        <w:t>（五）以更严要求防范化解劳资风险，有力保障人社领域和谐稳定。</w:t>
      </w:r>
      <w:r>
        <w:rPr>
          <w:rFonts w:hint="eastAsia" w:ascii="仿宋_GB2312" w:hAnsi="仿宋_GB2312" w:eastAsia="仿宋_GB2312" w:cs="仿宋_GB2312"/>
          <w:color w:val="auto"/>
          <w:sz w:val="32"/>
          <w:szCs w:val="32"/>
          <w:highlight w:val="none"/>
          <w:lang w:eastAsia="zh-CN"/>
        </w:rPr>
        <w:t>一是强化部门监管责任。联合行业主管部门共同抓好工程项目审批、资金拨付、施工过程结算等监管，抓农民工工资专用账户、总承包企业直接发放工资、按月足额实名实人发放工资、政府工程项目零欠薪、实名制管理、劳动合同签订等核心措施的落地落实。二是落实欠薪预警处理机制和部门应急联动机制。深入排查掌握项目和企业工资支付情况，强化分析研判，发现欠薪隐患线索及时预警并做好案件、事件防范工作；对核实涉及人数，查明真实诉求对确属欠薪的，依法从速妥善处理；对不属于欠薪的，依法做好教育引导及稳控工作，确保相关问题早发现、早通气、早核实、早处置。三是保持治欠惩戒高压态势。加大专项行动执法检查工作力度，严厉查处拖欠工资违法行为，对查实的违法问题，依法予以严惩。推进信用惩戒体系建设，依法依规实施联合惩戒，使欠薪违法者“一处违法、处处受限”，保持对欠薪行为的高压态势。四是提升源头治理效能。强化乡镇属地管理责任，压实部门主体责任，形成综合施策治理欠薪工作合力；指导乡镇充分发挥基层简单便捷、高效灵活、柔性化解的优势，发挥乡镇源头化解作用，坚持“预防为主、基层为主、调解为主”工作原则，从源头发现矛盾、化解矛盾，努力把基层劳资矛盾纠纷化解在萌芽状态，形成治欠全链条体系。</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3290B"/>
    <w:rsid w:val="000350DD"/>
    <w:rsid w:val="000560B1"/>
    <w:rsid w:val="00094475"/>
    <w:rsid w:val="000C5916"/>
    <w:rsid w:val="00182223"/>
    <w:rsid w:val="001B1B91"/>
    <w:rsid w:val="00200F74"/>
    <w:rsid w:val="002C0107"/>
    <w:rsid w:val="003129C0"/>
    <w:rsid w:val="00350FCB"/>
    <w:rsid w:val="003926F5"/>
    <w:rsid w:val="003B25CA"/>
    <w:rsid w:val="004903E7"/>
    <w:rsid w:val="004B48EE"/>
    <w:rsid w:val="00534213"/>
    <w:rsid w:val="00566C9F"/>
    <w:rsid w:val="0064064F"/>
    <w:rsid w:val="006C565B"/>
    <w:rsid w:val="006F5DDA"/>
    <w:rsid w:val="006F6EA7"/>
    <w:rsid w:val="007912A5"/>
    <w:rsid w:val="0087074D"/>
    <w:rsid w:val="008E040B"/>
    <w:rsid w:val="009103A0"/>
    <w:rsid w:val="00916C35"/>
    <w:rsid w:val="009C14D0"/>
    <w:rsid w:val="00B071CF"/>
    <w:rsid w:val="00C0730B"/>
    <w:rsid w:val="00C75AE8"/>
    <w:rsid w:val="00C92E97"/>
    <w:rsid w:val="00D9060B"/>
    <w:rsid w:val="00E063C2"/>
    <w:rsid w:val="00E409B6"/>
    <w:rsid w:val="00E71AE6"/>
    <w:rsid w:val="00EE444F"/>
    <w:rsid w:val="00F22CA7"/>
    <w:rsid w:val="00F23F30"/>
    <w:rsid w:val="018B7A72"/>
    <w:rsid w:val="0A430398"/>
    <w:rsid w:val="0C424404"/>
    <w:rsid w:val="12E42DB7"/>
    <w:rsid w:val="14BE1B82"/>
    <w:rsid w:val="17FA5496"/>
    <w:rsid w:val="19D11CC1"/>
    <w:rsid w:val="1BEA0FB0"/>
    <w:rsid w:val="1D0A1FE7"/>
    <w:rsid w:val="1F8E51B1"/>
    <w:rsid w:val="275A4B4E"/>
    <w:rsid w:val="27780A3F"/>
    <w:rsid w:val="2A0C3112"/>
    <w:rsid w:val="34BF20A0"/>
    <w:rsid w:val="38C97658"/>
    <w:rsid w:val="3C8B5B10"/>
    <w:rsid w:val="3DD75EFB"/>
    <w:rsid w:val="43162722"/>
    <w:rsid w:val="43704363"/>
    <w:rsid w:val="457313A9"/>
    <w:rsid w:val="468762A1"/>
    <w:rsid w:val="482A38F1"/>
    <w:rsid w:val="4883173D"/>
    <w:rsid w:val="489F088C"/>
    <w:rsid w:val="49DE6291"/>
    <w:rsid w:val="4BCA6DFA"/>
    <w:rsid w:val="4E585402"/>
    <w:rsid w:val="53996C5F"/>
    <w:rsid w:val="54BD3D57"/>
    <w:rsid w:val="54F16A4E"/>
    <w:rsid w:val="5543426F"/>
    <w:rsid w:val="55AE0F7D"/>
    <w:rsid w:val="561F2861"/>
    <w:rsid w:val="59262214"/>
    <w:rsid w:val="5A943CF5"/>
    <w:rsid w:val="5C6A63F7"/>
    <w:rsid w:val="60E77829"/>
    <w:rsid w:val="61E215D8"/>
    <w:rsid w:val="65A35C67"/>
    <w:rsid w:val="6BE4727C"/>
    <w:rsid w:val="6E7A1157"/>
    <w:rsid w:val="74A67584"/>
    <w:rsid w:val="7B37443B"/>
    <w:rsid w:val="7D17475D"/>
    <w:rsid w:val="7EEB2D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99"/>
    <w:pPr>
      <w:autoSpaceDE w:val="0"/>
      <w:autoSpaceDN w:val="0"/>
      <w:adjustRightInd w:val="0"/>
      <w:spacing w:line="240" w:lineRule="auto"/>
      <w:ind w:left="115" w:firstLine="0" w:firstLineChars="0"/>
      <w:jc w:val="left"/>
    </w:pPr>
    <w:rPr>
      <w:rFonts w:ascii="仿宋_GB2312" w:eastAsia="仿宋_GB2312" w:cs="仿宋_GB2312"/>
      <w:kern w:val="0"/>
      <w:sz w:val="28"/>
      <w:szCs w:val="28"/>
    </w:rPr>
  </w:style>
  <w:style w:type="paragraph" w:styleId="3">
    <w:name w:val="Title"/>
    <w:basedOn w:val="1"/>
    <w:next w:val="1"/>
    <w:qFormat/>
    <w:uiPriority w:val="10"/>
    <w:pPr>
      <w:spacing w:before="240" w:after="60"/>
      <w:outlineLvl w:val="0"/>
    </w:pPr>
    <w:rPr>
      <w:rFonts w:eastAsia="方正小标宋简体" w:asciiTheme="majorHAnsi" w:hAnsiTheme="majorHAnsi" w:cstheme="majorBidi"/>
      <w:b/>
      <w:bCs/>
      <w:sz w:val="44"/>
      <w:szCs w:val="32"/>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首行缩进"/>
    <w:qFormat/>
    <w:uiPriority w:val="0"/>
    <w:pPr>
      <w:widowControl w:val="0"/>
      <w:spacing w:line="360" w:lineRule="auto"/>
      <w:ind w:firstLine="480" w:firstLineChars="200"/>
      <w:jc w:val="both"/>
    </w:pPr>
    <w:rPr>
      <w:rFonts w:ascii="Calibri" w:hAnsi="Calibri" w:eastAsia="宋体" w:cs="Times New Roman"/>
      <w:kern w:val="2"/>
      <w:sz w:val="24"/>
      <w:szCs w:val="24"/>
      <w:lang w:val="zh-CN" w:eastAsia="zh-CN" w:bidi="ar-SA"/>
    </w:rPr>
  </w:style>
  <w:style w:type="character" w:customStyle="1" w:styleId="10">
    <w:name w:val="页眉 Char"/>
    <w:basedOn w:val="8"/>
    <w:link w:val="5"/>
    <w:semiHidden/>
    <w:qFormat/>
    <w:uiPriority w:val="99"/>
    <w:rPr>
      <w:rFonts w:ascii="Times New Roman" w:hAnsi="Times New Roman" w:eastAsia="宋体" w:cs="Times New Roman"/>
      <w:sz w:val="18"/>
      <w:szCs w:val="18"/>
    </w:rPr>
  </w:style>
  <w:style w:type="character" w:customStyle="1" w:styleId="11">
    <w:name w:val="页脚 Char"/>
    <w:basedOn w:val="8"/>
    <w:link w:val="4"/>
    <w:semiHidden/>
    <w:qFormat/>
    <w:uiPriority w:val="99"/>
    <w:rPr>
      <w:rFonts w:ascii="Times New Roman" w:hAnsi="Times New Roman" w:eastAsia="宋体" w:cs="Times New Roman"/>
      <w:sz w:val="18"/>
      <w:szCs w:val="18"/>
    </w:rPr>
  </w:style>
  <w:style w:type="paragraph" w:customStyle="1" w:styleId="12">
    <w:name w:val="正文 New"/>
    <w:qFormat/>
    <w:uiPriority w:val="0"/>
    <w:pPr>
      <w:widowControl w:val="0"/>
      <w:jc w:val="both"/>
    </w:pPr>
    <w:rPr>
      <w:rFonts w:hint="eastAsia" w:ascii="Calibri" w:hAnsi="Calibri" w:eastAsia="宋体" w:cs="Times New Roman"/>
      <w:kern w:val="2"/>
      <w:sz w:val="21"/>
      <w:lang w:val="en-US" w:eastAsia="zh-CN" w:bidi="ar-SA"/>
    </w:r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
    <w:name w:val="正文 New New New New New New New New New New New New New New New"/>
    <w:basedOn w:val="1"/>
    <w:qFormat/>
    <w:uiPriority w:val="99"/>
    <w:rPr>
      <w:rFonts w:eastAsia="仿宋_GB2312"/>
      <w:sz w:val="32"/>
      <w:szCs w:val="32"/>
    </w:rPr>
  </w:style>
  <w:style w:type="paragraph" w:customStyle="1" w:styleId="15">
    <w:name w:val="排版"/>
    <w:basedOn w:val="1"/>
    <w:qFormat/>
    <w:uiPriority w:val="99"/>
    <w:pPr>
      <w:spacing w:before="300" w:after="150" w:line="580" w:lineRule="exact"/>
      <w:ind w:firstLine="200" w:firstLineChars="200"/>
    </w:pPr>
    <w:rPr>
      <w:rFonts w:ascii="仿宋_GB2312" w:hAnsi="仿宋" w:eastAsia="仿宋_GB2312" w:cs="仿宋"/>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1041</Words>
  <Characters>5939</Characters>
  <Lines>49</Lines>
  <Paragraphs>13</Paragraphs>
  <TotalTime>1</TotalTime>
  <ScaleCrop>false</ScaleCrop>
  <LinksUpToDate>false</LinksUpToDate>
  <CharactersWithSpaces>6967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2024-09-27T00:45:11Z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C411B188BA1245879C399365AB40305C</vt:lpwstr>
  </property>
</Properties>
</file>