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66CB1">
      <w:pPr>
        <w:keepNext w:val="0"/>
        <w:keepLines w:val="0"/>
        <w:pageBreakBefore w:val="0"/>
        <w:widowControl w:val="0"/>
        <w:kinsoku/>
        <w:wordWrap/>
        <w:overflowPunct/>
        <w:topLinePunct w:val="0"/>
        <w:autoSpaceDE/>
        <w:autoSpaceDN/>
        <w:bidi w:val="0"/>
        <w:adjustRightInd/>
        <w:snapToGrid/>
        <w:spacing w:line="240" w:lineRule="auto"/>
        <w:ind w:firstLine="723" w:firstLineChars="200"/>
        <w:jc w:val="center"/>
        <w:textAlignment w:val="auto"/>
        <w:rPr>
          <w:rFonts w:ascii="宋体" w:hAnsi="宋体" w:cs="宋体"/>
          <w:b/>
          <w:sz w:val="36"/>
          <w:szCs w:val="36"/>
        </w:rPr>
      </w:pPr>
      <w:r>
        <w:rPr>
          <w:rFonts w:hint="eastAsia" w:ascii="宋体" w:hAnsi="宋体" w:cs="宋体"/>
          <w:b/>
          <w:sz w:val="36"/>
          <w:szCs w:val="36"/>
        </w:rPr>
        <w:t>党建活动经费绩效自评报告</w:t>
      </w:r>
    </w:p>
    <w:p w14:paraId="0AB60837">
      <w:pPr>
        <w:keepNext w:val="0"/>
        <w:keepLines w:val="0"/>
        <w:pageBreakBefore w:val="0"/>
        <w:widowControl w:val="0"/>
        <w:kinsoku/>
        <w:wordWrap/>
        <w:overflowPunct/>
        <w:topLinePunct w:val="0"/>
        <w:autoSpaceDE/>
        <w:autoSpaceDN/>
        <w:bidi w:val="0"/>
        <w:adjustRightInd/>
        <w:snapToGrid/>
        <w:spacing w:line="240" w:lineRule="auto"/>
        <w:ind w:firstLine="880" w:firstLineChars="200"/>
        <w:textAlignment w:val="auto"/>
        <w:rPr>
          <w:rFonts w:ascii="仿宋" w:hAnsi="仿宋" w:eastAsia="仿宋" w:cs="仿宋"/>
          <w:sz w:val="44"/>
          <w:szCs w:val="44"/>
        </w:rPr>
      </w:pPr>
    </w:p>
    <w:p w14:paraId="245DB93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一、项目基本情况及自评结论</w:t>
      </w:r>
    </w:p>
    <w:p w14:paraId="5CEB38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楷体_GB2312" w:hAnsi="楷体_GB2312" w:eastAsia="楷体_GB2312" w:cs="楷体_GB2312"/>
          <w:bCs/>
          <w:kern w:val="0"/>
          <w:sz w:val="32"/>
          <w:szCs w:val="32"/>
        </w:rPr>
      </w:pPr>
      <w:r>
        <w:rPr>
          <w:rFonts w:hint="eastAsia" w:ascii="楷体_GB2312" w:hAnsi="楷体_GB2312" w:eastAsia="楷体_GB2312" w:cs="楷体_GB2312"/>
          <w:bCs/>
          <w:kern w:val="0"/>
          <w:sz w:val="32"/>
          <w:szCs w:val="32"/>
          <w:lang w:eastAsia="zh-CN"/>
        </w:rPr>
        <w:t>（</w:t>
      </w:r>
      <w:r>
        <w:rPr>
          <w:rFonts w:hint="eastAsia" w:ascii="楷体_GB2312" w:hAnsi="楷体_GB2312" w:eastAsia="楷体_GB2312" w:cs="楷体_GB2312"/>
          <w:bCs/>
          <w:kern w:val="0"/>
          <w:sz w:val="32"/>
          <w:szCs w:val="32"/>
          <w:lang w:val="en-US" w:eastAsia="zh-CN"/>
        </w:rPr>
        <w:t>一</w:t>
      </w:r>
      <w:r>
        <w:rPr>
          <w:rFonts w:hint="eastAsia" w:ascii="楷体_GB2312" w:hAnsi="楷体_GB2312" w:eastAsia="楷体_GB2312" w:cs="楷体_GB2312"/>
          <w:bCs/>
          <w:kern w:val="0"/>
          <w:sz w:val="32"/>
          <w:szCs w:val="32"/>
          <w:lang w:eastAsia="zh-CN"/>
        </w:rPr>
        <w:t>）</w:t>
      </w:r>
      <w:r>
        <w:rPr>
          <w:rFonts w:hint="eastAsia" w:ascii="楷体_GB2312" w:hAnsi="楷体_GB2312" w:eastAsia="楷体_GB2312" w:cs="楷体_GB2312"/>
          <w:bCs/>
          <w:kern w:val="0"/>
          <w:sz w:val="32"/>
          <w:szCs w:val="32"/>
        </w:rPr>
        <w:t>项目资金安排情况</w:t>
      </w:r>
    </w:p>
    <w:p w14:paraId="6B0B4A8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ascii="仿宋" w:hAnsi="仿宋" w:eastAsia="仿宋" w:cs="仿宋"/>
          <w:sz w:val="32"/>
          <w:szCs w:val="32"/>
        </w:rPr>
      </w:pPr>
      <w:r>
        <w:rPr>
          <w:rFonts w:hint="eastAsia" w:ascii="仿宋" w:hAnsi="仿宋" w:eastAsia="仿宋" w:cs="仿宋"/>
          <w:bCs/>
          <w:kern w:val="0"/>
          <w:sz w:val="32"/>
          <w:szCs w:val="32"/>
        </w:rPr>
        <w:t>县财政《</w:t>
      </w:r>
      <w:r>
        <w:rPr>
          <w:rFonts w:hint="eastAsia" w:ascii="仿宋" w:hAnsi="仿宋" w:eastAsia="仿宋" w:cs="仿宋"/>
          <w:bCs/>
          <w:color w:val="auto"/>
          <w:kern w:val="0"/>
          <w:sz w:val="32"/>
          <w:szCs w:val="32"/>
        </w:rPr>
        <w:t>关于批复202</w:t>
      </w:r>
      <w:r>
        <w:rPr>
          <w:rFonts w:hint="default" w:ascii="仿宋" w:hAnsi="仿宋" w:eastAsia="仿宋" w:cs="仿宋"/>
          <w:bCs/>
          <w:color w:val="auto"/>
          <w:kern w:val="0"/>
          <w:sz w:val="32"/>
          <w:szCs w:val="32"/>
          <w:lang w:val="en-GB"/>
        </w:rPr>
        <w:t>3</w:t>
      </w:r>
      <w:r>
        <w:rPr>
          <w:rFonts w:hint="eastAsia" w:ascii="仿宋" w:hAnsi="仿宋" w:eastAsia="仿宋" w:cs="仿宋"/>
          <w:bCs/>
          <w:color w:val="auto"/>
          <w:kern w:val="0"/>
          <w:sz w:val="32"/>
          <w:szCs w:val="32"/>
        </w:rPr>
        <w:t>年部门预算的通知》乳财[202</w:t>
      </w:r>
      <w:r>
        <w:rPr>
          <w:rFonts w:hint="default" w:ascii="仿宋" w:hAnsi="仿宋" w:eastAsia="仿宋" w:cs="仿宋"/>
          <w:bCs/>
          <w:color w:val="auto"/>
          <w:kern w:val="0"/>
          <w:sz w:val="32"/>
          <w:szCs w:val="32"/>
          <w:lang w:val="en-GB"/>
        </w:rPr>
        <w:t>3</w:t>
      </w:r>
      <w:r>
        <w:rPr>
          <w:rFonts w:hint="eastAsia" w:ascii="仿宋" w:hAnsi="仿宋" w:eastAsia="仿宋" w:cs="仿宋"/>
          <w:bCs/>
          <w:color w:val="auto"/>
          <w:kern w:val="0"/>
          <w:sz w:val="32"/>
          <w:szCs w:val="32"/>
        </w:rPr>
        <w:t>]</w:t>
      </w:r>
      <w:r>
        <w:rPr>
          <w:rFonts w:hint="default" w:ascii="仿宋" w:hAnsi="仿宋" w:eastAsia="仿宋" w:cs="仿宋"/>
          <w:bCs/>
          <w:color w:val="auto"/>
          <w:kern w:val="0"/>
          <w:sz w:val="32"/>
          <w:szCs w:val="32"/>
          <w:lang w:val="en-GB"/>
        </w:rPr>
        <w:t>4</w:t>
      </w:r>
      <w:r>
        <w:rPr>
          <w:rFonts w:hint="eastAsia" w:ascii="仿宋" w:hAnsi="仿宋" w:eastAsia="仿宋" w:cs="仿宋"/>
          <w:bCs/>
          <w:color w:val="auto"/>
          <w:kern w:val="0"/>
          <w:sz w:val="32"/>
          <w:szCs w:val="32"/>
        </w:rPr>
        <w:t>号文批复</w:t>
      </w:r>
      <w:r>
        <w:rPr>
          <w:rFonts w:hint="eastAsia" w:ascii="仿宋" w:hAnsi="仿宋" w:eastAsia="仿宋" w:cs="仿宋"/>
          <w:color w:val="auto"/>
          <w:sz w:val="32"/>
          <w:szCs w:val="32"/>
        </w:rPr>
        <w:t>党建活动经费1万元。</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年实际支出9997元，</w:t>
      </w:r>
      <w:r>
        <w:rPr>
          <w:rFonts w:hint="eastAsia" w:ascii="仿宋" w:hAnsi="仿宋" w:eastAsia="仿宋" w:cs="仿宋"/>
          <w:sz w:val="32"/>
          <w:szCs w:val="32"/>
          <w:lang w:val="en-US" w:eastAsia="zh-CN"/>
        </w:rPr>
        <w:t>支出额占比99</w:t>
      </w:r>
      <w:r>
        <w:rPr>
          <w:rFonts w:hint="eastAsia" w:ascii="仿宋" w:hAnsi="仿宋" w:eastAsia="仿宋" w:cs="仿宋"/>
          <w:sz w:val="32"/>
          <w:szCs w:val="32"/>
        </w:rPr>
        <w:t>.</w:t>
      </w:r>
      <w:r>
        <w:rPr>
          <w:rFonts w:hint="eastAsia" w:ascii="仿宋" w:hAnsi="仿宋" w:eastAsia="仿宋" w:cs="仿宋"/>
          <w:sz w:val="32"/>
          <w:szCs w:val="32"/>
          <w:lang w:val="en-US" w:eastAsia="zh-CN"/>
        </w:rPr>
        <w:t>97</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县高新区以习近平新时代中国特色社会主义思想为指导，深入学习贯彻落实党的二十大精神、</w:t>
      </w:r>
      <w:r>
        <w:rPr>
          <w:rFonts w:hint="eastAsia" w:ascii="仿宋" w:hAnsi="仿宋" w:eastAsia="仿宋" w:cs="仿宋"/>
          <w:sz w:val="32"/>
          <w:szCs w:val="32"/>
          <w:lang w:val="en-US" w:eastAsia="zh-CN"/>
        </w:rPr>
        <w:t>习近平新时代中国特色社会主义思想、</w:t>
      </w:r>
      <w:r>
        <w:rPr>
          <w:rFonts w:hint="eastAsia" w:ascii="仿宋" w:hAnsi="仿宋" w:eastAsia="仿宋" w:cs="仿宋"/>
          <w:sz w:val="32"/>
          <w:szCs w:val="32"/>
        </w:rPr>
        <w:t>中央经济工作会议精神、习近平总书记视察广东重要讲话重要指示精神、省市和县第十三次党代会部署精神，</w:t>
      </w:r>
      <w:r>
        <w:rPr>
          <w:rFonts w:hint="eastAsia" w:ascii="仿宋" w:hAnsi="仿宋" w:eastAsia="仿宋" w:cs="仿宋"/>
          <w:color w:val="000000"/>
          <w:sz w:val="32"/>
          <w:szCs w:val="32"/>
        </w:rPr>
        <w:t>推动基层党组织和广大党员深刻领悟“两个自立”的决定性意义，增强“四个自信”，做到“两个维护”，</w:t>
      </w:r>
      <w:r>
        <w:rPr>
          <w:rFonts w:hint="eastAsia" w:ascii="仿宋" w:hAnsi="仿宋" w:eastAsia="仿宋" w:cs="仿宋"/>
          <w:sz w:val="32"/>
          <w:szCs w:val="32"/>
        </w:rPr>
        <w:t>深入开展好政治引领行动、理论武装行动、党员先锋模范行动，着力解决基层党组织党员教育管理不规范、基层党建标准不规范等突出问题，强化党员干部理论武装，紧抓意识形态工作和纪律教育工作。严抓党支部经常性工作，深入落实“第一议题”制度，积极组织党员开展组织生活，认真落实三会一课、谈心谈话、</w:t>
      </w:r>
      <w:r>
        <w:rPr>
          <w:rFonts w:hint="eastAsia" w:ascii="仿宋" w:hAnsi="仿宋" w:eastAsia="仿宋" w:cs="仿宋"/>
          <w:sz w:val="32"/>
          <w:szCs w:val="32"/>
          <w:lang w:val="en-US" w:eastAsia="zh-CN"/>
        </w:rPr>
        <w:t>讲党课</w:t>
      </w:r>
      <w:r>
        <w:rPr>
          <w:rFonts w:hint="eastAsia" w:ascii="仿宋" w:hAnsi="仿宋" w:eastAsia="仿宋" w:cs="仿宋"/>
          <w:sz w:val="32"/>
          <w:szCs w:val="32"/>
        </w:rPr>
        <w:t>、主题</w:t>
      </w:r>
      <w:r>
        <w:rPr>
          <w:rFonts w:hint="eastAsia" w:ascii="仿宋" w:hAnsi="仿宋" w:eastAsia="仿宋" w:cs="仿宋"/>
          <w:sz w:val="32"/>
          <w:szCs w:val="32"/>
          <w:lang w:eastAsia="zh-CN"/>
        </w:rPr>
        <w:t>党日</w:t>
      </w:r>
      <w:r>
        <w:rPr>
          <w:rFonts w:hint="eastAsia" w:ascii="仿宋" w:hAnsi="仿宋" w:eastAsia="仿宋" w:cs="仿宋"/>
          <w:sz w:val="32"/>
          <w:szCs w:val="32"/>
        </w:rPr>
        <w:t>活动等。</w:t>
      </w:r>
    </w:p>
    <w:p w14:paraId="2FA7AF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楷体_GB2312" w:hAnsi="楷体_GB2312" w:eastAsia="楷体_GB2312" w:cs="楷体_GB2312"/>
          <w:sz w:val="32"/>
          <w:szCs w:val="32"/>
        </w:rPr>
      </w:pPr>
      <w:r>
        <w:rPr>
          <w:rFonts w:hint="eastAsia" w:ascii="楷体_GB2312" w:hAnsi="楷体_GB2312" w:eastAsia="楷体_GB2312" w:cs="楷体_GB2312"/>
          <w:kern w:val="0"/>
          <w:sz w:val="32"/>
          <w:szCs w:val="32"/>
        </w:rPr>
        <w:t>（二）</w:t>
      </w:r>
      <w:r>
        <w:rPr>
          <w:rFonts w:hint="eastAsia" w:ascii="楷体_GB2312" w:hAnsi="楷体_GB2312" w:eastAsia="楷体_GB2312" w:cs="楷体_GB2312"/>
          <w:sz w:val="32"/>
          <w:szCs w:val="32"/>
        </w:rPr>
        <w:t>项目实施主要内容及实施程序</w:t>
      </w:r>
    </w:p>
    <w:p w14:paraId="2ED8A38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rPr>
        <w:t>主要实施内容：</w:t>
      </w:r>
    </w:p>
    <w:p w14:paraId="112357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组织开展在职党员入社区服务活动包括多次开展“敲门入户”行动，为群众</w:t>
      </w:r>
      <w:r>
        <w:rPr>
          <w:rFonts w:hint="eastAsia" w:ascii="仿宋" w:hAnsi="仿宋" w:eastAsia="仿宋" w:cs="仿宋"/>
          <w:sz w:val="32"/>
          <w:szCs w:val="32"/>
          <w:lang w:val="en-US" w:eastAsia="zh-CN"/>
        </w:rPr>
        <w:t>宣传创文创卫</w:t>
      </w:r>
      <w:r>
        <w:rPr>
          <w:rFonts w:hint="eastAsia" w:ascii="仿宋" w:hAnsi="仿宋" w:eastAsia="仿宋" w:cs="仿宋"/>
          <w:sz w:val="32"/>
          <w:szCs w:val="32"/>
        </w:rPr>
        <w:t>、</w:t>
      </w:r>
      <w:r>
        <w:rPr>
          <w:rFonts w:hint="eastAsia" w:ascii="仿宋" w:hAnsi="仿宋" w:eastAsia="仿宋" w:cs="仿宋"/>
          <w:sz w:val="32"/>
          <w:szCs w:val="32"/>
          <w:lang w:val="en-US" w:eastAsia="zh-CN"/>
        </w:rPr>
        <w:t>燃气使用安全、《国家安全法》《反间谍法》等；调查住户信息以完成“二标四实”工作；</w:t>
      </w:r>
      <w:r>
        <w:rPr>
          <w:rFonts w:hint="eastAsia" w:ascii="仿宋" w:hAnsi="仿宋" w:eastAsia="仿宋" w:cs="仿宋"/>
          <w:sz w:val="32"/>
          <w:szCs w:val="32"/>
        </w:rPr>
        <w:t>开展“增强居民国家安全意识暨关爱老人入社区送温暖活动”共建活动。</w:t>
      </w:r>
    </w:p>
    <w:p w14:paraId="008336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组织开展“党建+安全生产”、“党建+防汛抗洪”、“党建+促就业”，班子成员全面挂点园区“两新”党支部，全面指导企业党建工作</w:t>
      </w:r>
      <w:r>
        <w:rPr>
          <w:rFonts w:hint="eastAsia" w:ascii="仿宋" w:hAnsi="仿宋" w:eastAsia="仿宋" w:cs="仿宋"/>
          <w:sz w:val="32"/>
          <w:szCs w:val="32"/>
          <w:lang w:eastAsia="zh-CN"/>
        </w:rPr>
        <w:t>；</w:t>
      </w:r>
      <w:r>
        <w:rPr>
          <w:rFonts w:hint="eastAsia" w:ascii="仿宋" w:hAnsi="仿宋" w:eastAsia="仿宋" w:cs="仿宋"/>
          <w:sz w:val="32"/>
          <w:szCs w:val="32"/>
        </w:rPr>
        <w:t>摸排组织企业成立“两新”党组织，并引导企业积极发展党员。</w:t>
      </w:r>
    </w:p>
    <w:p w14:paraId="3F02DB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严格落实《全县领导干部开展“双向服务”活动实施方案》《关于全县党员领导干部到镇村开展农村人居环境整治攻坚行动的通知》等文件要求，深入到岐石村委开展调研、走访慰问困难党员，开展专题党课2次，政策宣讲2次；开展农村人居环节整治14次。</w:t>
      </w:r>
    </w:p>
    <w:p w14:paraId="4DA187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组织爱国主义题材记录电影《单声》，</w:t>
      </w:r>
      <w:r>
        <w:rPr>
          <w:rFonts w:hint="eastAsia" w:ascii="仿宋" w:hAnsi="仿宋" w:eastAsia="仿宋" w:cs="仿宋"/>
          <w:sz w:val="32"/>
          <w:szCs w:val="32"/>
          <w:lang w:val="en-US" w:eastAsia="zh-CN"/>
        </w:rPr>
        <w:t>购买《《习近平新时代中国特色社会主义思想专题摘编》《习近平著作选读》，征订《党建》《瞭望》《廉政教育系列参考》《共产党员纪律必修课》等党刊杂志</w:t>
      </w:r>
      <w:r>
        <w:rPr>
          <w:rFonts w:hint="eastAsia" w:ascii="仿宋" w:hAnsi="仿宋" w:eastAsia="仿宋" w:cs="仿宋"/>
          <w:sz w:val="32"/>
          <w:szCs w:val="32"/>
        </w:rPr>
        <w:t>。</w:t>
      </w:r>
    </w:p>
    <w:p w14:paraId="0F2763E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邀请党校教师</w:t>
      </w:r>
      <w:r>
        <w:rPr>
          <w:rFonts w:hint="eastAsia" w:ascii="仿宋" w:hAnsi="仿宋" w:eastAsia="仿宋" w:cs="仿宋"/>
          <w:sz w:val="32"/>
          <w:szCs w:val="32"/>
          <w:lang w:val="en-US" w:eastAsia="zh-CN"/>
        </w:rPr>
        <w:t>学习习近平新时代中国特色社会主义思想及《习近平著作选读》第一卷、第二卷开展</w:t>
      </w:r>
      <w:r>
        <w:rPr>
          <w:rFonts w:hint="eastAsia" w:ascii="仿宋" w:hAnsi="仿宋" w:eastAsia="仿宋" w:cs="仿宋"/>
          <w:sz w:val="32"/>
          <w:szCs w:val="32"/>
        </w:rPr>
        <w:t>2次专题授课；先后组织学习了《党的二十大报告》《习近平新时代中国特色社会主义思想专题摘编》《习近平著作选读》（第一卷）、《中国共产党章程》《论党的自我革</w:t>
      </w:r>
      <w:bookmarkStart w:id="0" w:name="_GoBack"/>
      <w:bookmarkEnd w:id="0"/>
      <w:r>
        <w:rPr>
          <w:rFonts w:hint="eastAsia" w:ascii="仿宋" w:hAnsi="仿宋" w:eastAsia="仿宋" w:cs="仿宋"/>
          <w:sz w:val="32"/>
          <w:szCs w:val="32"/>
        </w:rPr>
        <w:t>命》等书籍。</w:t>
      </w:r>
    </w:p>
    <w:p w14:paraId="5C9524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6、与岐石村委开展党建共建，组织到曲江区龙岗开展“学习贯彻习近平新时代中国特色社会主义思想”党日活动；组织支部党员到韶关廉政基地参观学习，锤炼党性。</w:t>
      </w:r>
    </w:p>
    <w:p w14:paraId="492F46E8">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ascii="仿宋" w:hAnsi="仿宋" w:eastAsia="仿宋" w:cs="仿宋"/>
          <w:sz w:val="32"/>
          <w:szCs w:val="32"/>
        </w:rPr>
      </w:pPr>
      <w:r>
        <w:rPr>
          <w:rFonts w:hint="eastAsia" w:ascii="仿宋" w:hAnsi="仿宋" w:eastAsia="仿宋" w:cs="仿宋"/>
          <w:b/>
          <w:bCs/>
          <w:sz w:val="32"/>
          <w:szCs w:val="32"/>
        </w:rPr>
        <w:t>实施程序：</w:t>
      </w:r>
      <w:r>
        <w:rPr>
          <w:rFonts w:hint="eastAsia" w:ascii="仿宋" w:hAnsi="仿宋" w:eastAsia="仿宋" w:cs="仿宋"/>
          <w:sz w:val="32"/>
          <w:szCs w:val="32"/>
        </w:rPr>
        <w:t>经办人提交领导审核━领导签字━交财务室申拨支付。</w:t>
      </w:r>
    </w:p>
    <w:p w14:paraId="3C1F6D0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（三）项目自评</w:t>
      </w:r>
    </w:p>
    <w:p w14:paraId="2AE0A0B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项目自评等级</w:t>
      </w:r>
      <w:r>
        <w:rPr>
          <w:rFonts w:hint="eastAsia" w:ascii="仿宋" w:hAnsi="仿宋" w:eastAsia="仿宋" w:cs="仿宋"/>
          <w:sz w:val="32"/>
          <w:szCs w:val="32"/>
        </w:rPr>
        <w:t>为优良，分数98分，资金绩效目标设置是明确，合理、细化；资金绩效目标与项目属性特点、支出内容相关，合乎客观实际。</w:t>
      </w:r>
    </w:p>
    <w:p w14:paraId="681FB8C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二、绩效表现</w:t>
      </w:r>
    </w:p>
    <w:p w14:paraId="52D154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（一）资金使用绩效</w:t>
      </w:r>
    </w:p>
    <w:p w14:paraId="37C5A06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rPr>
        <w:t>1、投入。资金用于教育学习资料、组织观看公益题材电影、邀请</w:t>
      </w:r>
      <w:r>
        <w:rPr>
          <w:rFonts w:hint="eastAsia" w:ascii="仿宋" w:hAnsi="仿宋" w:eastAsia="仿宋" w:cs="仿宋"/>
          <w:sz w:val="32"/>
          <w:szCs w:val="32"/>
          <w:lang w:val="en-US" w:eastAsia="zh-CN"/>
        </w:rPr>
        <w:t>专家</w:t>
      </w:r>
      <w:r>
        <w:rPr>
          <w:rFonts w:hint="eastAsia" w:ascii="仿宋" w:hAnsi="仿宋" w:eastAsia="仿宋" w:cs="仿宋"/>
          <w:sz w:val="32"/>
          <w:szCs w:val="32"/>
        </w:rPr>
        <w:t>授课、外出参观学习。</w:t>
      </w:r>
    </w:p>
    <w:p w14:paraId="0E9B65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过程。根据年初预算支付各项预算指标。</w:t>
      </w:r>
    </w:p>
    <w:p w14:paraId="44F552B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rPr>
        <w:t>3、产出。实际按票据支付各项教育学习资料费、组织观看公益题材电影费、邀请</w:t>
      </w:r>
      <w:r>
        <w:rPr>
          <w:rFonts w:hint="eastAsia" w:ascii="仿宋" w:hAnsi="仿宋" w:eastAsia="仿宋" w:cs="仿宋"/>
          <w:sz w:val="32"/>
          <w:szCs w:val="32"/>
          <w:lang w:val="en-US" w:eastAsia="zh-CN"/>
        </w:rPr>
        <w:t>专家</w:t>
      </w:r>
      <w:r>
        <w:rPr>
          <w:rFonts w:hint="eastAsia" w:ascii="仿宋" w:hAnsi="仿宋" w:eastAsia="仿宋" w:cs="仿宋"/>
          <w:sz w:val="32"/>
          <w:szCs w:val="32"/>
        </w:rPr>
        <w:t>授课费、外出参观学习费。</w:t>
      </w:r>
    </w:p>
    <w:p w14:paraId="0F1C537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4、</w:t>
      </w:r>
      <w:r>
        <w:rPr>
          <w:rFonts w:hint="eastAsia" w:ascii="仿宋" w:hAnsi="仿宋" w:eastAsia="仿宋" w:cs="仿宋"/>
          <w:sz w:val="32"/>
          <w:szCs w:val="32"/>
        </w:rPr>
        <w:t>效益。</w:t>
      </w:r>
      <w:r>
        <w:rPr>
          <w:rFonts w:hint="eastAsia" w:ascii="仿宋" w:hAnsi="仿宋" w:eastAsia="仿宋" w:cs="仿宋"/>
          <w:sz w:val="32"/>
          <w:szCs w:val="32"/>
          <w:lang w:val="en-US" w:eastAsia="zh-CN"/>
        </w:rPr>
        <w:t>高新区</w:t>
      </w:r>
      <w:r>
        <w:rPr>
          <w:rFonts w:hint="eastAsia" w:ascii="仿宋" w:hAnsi="仿宋" w:eastAsia="仿宋" w:cs="仿宋"/>
          <w:sz w:val="32"/>
          <w:szCs w:val="32"/>
        </w:rPr>
        <w:t>党员干部</w:t>
      </w:r>
      <w:r>
        <w:rPr>
          <w:rFonts w:hint="eastAsia" w:ascii="仿宋" w:hAnsi="仿宋" w:eastAsia="仿宋" w:cs="仿宋"/>
          <w:sz w:val="32"/>
          <w:szCs w:val="32"/>
          <w:lang w:val="zh-CN"/>
        </w:rPr>
        <w:t>加强党员党性锤炼，参与公益事业、公众参与宣传。</w:t>
      </w:r>
    </w:p>
    <w:p w14:paraId="17CD47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（二）存在问题。</w:t>
      </w:r>
    </w:p>
    <w:p w14:paraId="34FE8AC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rPr>
        <w:t>无</w:t>
      </w:r>
    </w:p>
    <w:p w14:paraId="478A3C6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三、改进意见</w:t>
      </w:r>
    </w:p>
    <w:p w14:paraId="73960EE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r>
        <w:rPr>
          <w:rFonts w:hint="eastAsia" w:ascii="仿宋" w:hAnsi="仿宋" w:eastAsia="仿宋" w:cs="仿宋"/>
          <w:sz w:val="32"/>
          <w:szCs w:val="32"/>
        </w:rPr>
        <w:t>无</w:t>
      </w:r>
    </w:p>
    <w:p w14:paraId="6534E71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p>
    <w:p w14:paraId="2B287CA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 w:hAnsi="仿宋" w:eastAsia="仿宋" w:cs="仿宋"/>
          <w:sz w:val="32"/>
          <w:szCs w:val="32"/>
        </w:rPr>
      </w:pPr>
    </w:p>
    <w:p w14:paraId="07EB64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韶关乳源高新技术产业开发区管理委员会</w:t>
      </w:r>
    </w:p>
    <w:p w14:paraId="6B729D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2024年5月20日</w:t>
      </w:r>
    </w:p>
    <w:sectPr>
      <w:footerReference r:id="rId3" w:type="default"/>
      <w:pgSz w:w="11906" w:h="16838"/>
      <w:pgMar w:top="1440" w:right="1800" w:bottom="1440"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A01D9">
    <w:pPr>
      <w:pStyle w:val="2"/>
      <w:jc w:val="center"/>
    </w:pPr>
    <w:r>
      <w:fldChar w:fldCharType="begin"/>
    </w:r>
    <w:r>
      <w:instrText xml:space="preserve"> PAGE   \* MERGEFORMAT </w:instrText>
    </w:r>
    <w:r>
      <w:fldChar w:fldCharType="separate"/>
    </w:r>
    <w:r>
      <w:rPr>
        <w:lang w:val="zh-CN"/>
      </w:rPr>
      <w:t>1</w:t>
    </w:r>
    <w:r>
      <w:rPr>
        <w:lang w:val="zh-CN"/>
      </w:rPr>
      <w:fldChar w:fldCharType="end"/>
    </w:r>
  </w:p>
  <w:p w14:paraId="6BA92DE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U1YjhiOTYwMjJmNGVhNzAxNjFhMzcwMjFkN2NiNTAifQ=="/>
  </w:docVars>
  <w:rsids>
    <w:rsidRoot w:val="00172A27"/>
    <w:rsid w:val="0000597D"/>
    <w:rsid w:val="00013A78"/>
    <w:rsid w:val="000560B1"/>
    <w:rsid w:val="00066F37"/>
    <w:rsid w:val="000B3390"/>
    <w:rsid w:val="000E40F5"/>
    <w:rsid w:val="001065AF"/>
    <w:rsid w:val="00156345"/>
    <w:rsid w:val="00172A27"/>
    <w:rsid w:val="00182223"/>
    <w:rsid w:val="001A0632"/>
    <w:rsid w:val="002054F8"/>
    <w:rsid w:val="00216E39"/>
    <w:rsid w:val="00284564"/>
    <w:rsid w:val="002A2BF1"/>
    <w:rsid w:val="002E6FFC"/>
    <w:rsid w:val="00473ABD"/>
    <w:rsid w:val="004745FB"/>
    <w:rsid w:val="004903E7"/>
    <w:rsid w:val="004B0377"/>
    <w:rsid w:val="00507C11"/>
    <w:rsid w:val="00534213"/>
    <w:rsid w:val="00582804"/>
    <w:rsid w:val="005A41E2"/>
    <w:rsid w:val="005D28A4"/>
    <w:rsid w:val="005D5D96"/>
    <w:rsid w:val="005E7BD3"/>
    <w:rsid w:val="0060553D"/>
    <w:rsid w:val="006F6EA7"/>
    <w:rsid w:val="007C1F6D"/>
    <w:rsid w:val="00801D43"/>
    <w:rsid w:val="00833016"/>
    <w:rsid w:val="008D727C"/>
    <w:rsid w:val="00954959"/>
    <w:rsid w:val="00981D25"/>
    <w:rsid w:val="00A37984"/>
    <w:rsid w:val="00A42FCB"/>
    <w:rsid w:val="00A7110D"/>
    <w:rsid w:val="00A97637"/>
    <w:rsid w:val="00AA1670"/>
    <w:rsid w:val="00B005C1"/>
    <w:rsid w:val="00B02EA4"/>
    <w:rsid w:val="00BA055F"/>
    <w:rsid w:val="00BB5D0A"/>
    <w:rsid w:val="00BB5FCE"/>
    <w:rsid w:val="00C036BD"/>
    <w:rsid w:val="00C47FBC"/>
    <w:rsid w:val="00C94B2E"/>
    <w:rsid w:val="00CC45BB"/>
    <w:rsid w:val="00CF4BF9"/>
    <w:rsid w:val="00CF586A"/>
    <w:rsid w:val="00D31B6A"/>
    <w:rsid w:val="00DE18B5"/>
    <w:rsid w:val="00E07FCB"/>
    <w:rsid w:val="00E11B74"/>
    <w:rsid w:val="00E2706C"/>
    <w:rsid w:val="00E409B6"/>
    <w:rsid w:val="00E7197C"/>
    <w:rsid w:val="00ED03B0"/>
    <w:rsid w:val="00ED30FC"/>
    <w:rsid w:val="00EE444F"/>
    <w:rsid w:val="00EE7243"/>
    <w:rsid w:val="00F22CA7"/>
    <w:rsid w:val="00F33D44"/>
    <w:rsid w:val="00F65C93"/>
    <w:rsid w:val="00FB3270"/>
    <w:rsid w:val="00FF2CB9"/>
    <w:rsid w:val="0F3F5DDD"/>
    <w:rsid w:val="11673E35"/>
    <w:rsid w:val="15A26415"/>
    <w:rsid w:val="18B26BC9"/>
    <w:rsid w:val="1DFC7BC5"/>
    <w:rsid w:val="2539622F"/>
    <w:rsid w:val="2BB57E8E"/>
    <w:rsid w:val="33B63943"/>
    <w:rsid w:val="343877BA"/>
    <w:rsid w:val="3670631E"/>
    <w:rsid w:val="3686545B"/>
    <w:rsid w:val="3BAE2FF9"/>
    <w:rsid w:val="4426545D"/>
    <w:rsid w:val="44523414"/>
    <w:rsid w:val="46BB73D7"/>
    <w:rsid w:val="515E0A13"/>
    <w:rsid w:val="57AA54C1"/>
    <w:rsid w:val="57FA4F59"/>
    <w:rsid w:val="5BAE7455"/>
    <w:rsid w:val="61BE56EF"/>
    <w:rsid w:val="68DB3615"/>
    <w:rsid w:val="69504120"/>
    <w:rsid w:val="6CEC22DF"/>
    <w:rsid w:val="70AD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autoRedefine/>
    <w:qFormat/>
    <w:uiPriority w:val="99"/>
    <w:rPr>
      <w:rFonts w:ascii="Times New Roman" w:hAnsi="Times New Roman" w:eastAsia="宋体" w:cs="Times New Roman"/>
      <w:sz w:val="18"/>
      <w:szCs w:val="18"/>
    </w:rPr>
  </w:style>
  <w:style w:type="character" w:customStyle="1" w:styleId="7">
    <w:name w:val="页眉 Char"/>
    <w:basedOn w:val="5"/>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1321</Words>
  <Characters>1348</Characters>
  <Lines>8</Lines>
  <Paragraphs>2</Paragraphs>
  <TotalTime>168</TotalTime>
  <ScaleCrop>false</ScaleCrop>
  <LinksUpToDate>false</LinksUpToDate>
  <CharactersWithSpaces>1369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2021-04-13T02:08:00Z</dcterms:created>
  <dc:creator>lenovo</dc:creator>
  <cp:lastModifiedBy>a锋</cp:lastModifiedBy>
  <cp:lastPrinted>2019-02-02T07:49:00Z</cp:lastPrinted>
  <dcterms:modified xsi:type="dcterms:W3CDTF">2024-10-09T03:42:50Z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5A7A97E5231343ACB40D00DE20A7B1FF_12</vt:lpwstr>
  </property>
</Properties>
</file>