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乳源瑶族自治县国土局成立于1986年，20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年更名为乳源瑶族自治县</w:t>
      </w:r>
      <w:r>
        <w:rPr>
          <w:rFonts w:hint="eastAsia" w:ascii="仿宋_GB2312" w:hAnsi="仿宋_GB2312" w:eastAsia="仿宋_GB2312" w:cs="仿宋_GB2312"/>
          <w:sz w:val="32"/>
          <w:szCs w:val="32"/>
          <w:lang w:val="en-US" w:eastAsia="zh-CN"/>
        </w:rPr>
        <w:t>自然</w:t>
      </w:r>
      <w:r>
        <w:rPr>
          <w:rFonts w:hint="eastAsia" w:ascii="仿宋_GB2312" w:hAnsi="仿宋_GB2312" w:eastAsia="仿宋_GB2312" w:cs="仿宋_GB2312"/>
          <w:sz w:val="32"/>
          <w:szCs w:val="32"/>
        </w:rPr>
        <w:t>资源局，为正科级行政单位，主要职能：贯彻执行国家有关土地、矿产、测绘管理的方针、政策和法律、法规，合理利用和保护土地资源。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通过日常巡查发现违法用地、用矿行为，再通过在线巡查移动终端上报违法事件，报告属地政府、抄告相关职能部门，做到依法履职，通过</w:t>
      </w:r>
      <w:r>
        <w:rPr>
          <w:rFonts w:hint="eastAsia" w:ascii="仿宋_GB2312" w:hAnsi="仿宋_GB2312" w:eastAsia="仿宋_GB2312" w:cs="仿宋_GB2312"/>
          <w:sz w:val="32"/>
          <w:szCs w:val="32"/>
          <w:lang w:eastAsia="zh-CN"/>
        </w:rPr>
        <w:t>违法用地的拆除、复耕复绿工作是通过国土资源局日常动态巡查发现的违法违规用地行为，通过对违法用地的拆除与复耕复绿，确保我县实现三个目标：一是确保违法违规用地行为立案率、查处率均达100%，结案率达90%以上，履职到位率达90%以上，查处整改到位率60%以上；二是确保本区域违法违规用地比上一年度大幅下降，其中违法占用耕地面积不得超过新增建设用地占用耕地面积的15%；有效实现违法违规用地的“早发现、早制止、早处置”，确保我县土地矿产卫片执法监督检查不被上级约谈与问责。违法用地的拆除、复耕复绿工作难度大，存在社会不稳定因素，主要包括前期做好违法当事人的思想工作，做好违法当事人非法建筑内的财产转移、停水停电等安全措施；中期聘用挖掘机、铲车、工人等对违法违规建筑物进行拆除；后期将拆除后的建筑垃圾进行清理，并种植树木或恢复耕作条件。</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w:t>
      </w:r>
      <w:r>
        <w:rPr>
          <w:rFonts w:hint="eastAsia" w:ascii="仿宋_GB2312" w:eastAsia="仿宋_GB2312"/>
          <w:sz w:val="32"/>
          <w:szCs w:val="32"/>
          <w:lang w:eastAsia="zh-CN"/>
        </w:rPr>
        <w:t>情况</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本次项目绩效自评等级为优，自评分数为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w:t>
      </w:r>
      <w:bookmarkStart w:id="0" w:name="_GoBack"/>
      <w:bookmarkEnd w:id="0"/>
    </w:p>
    <w:p>
      <w:pPr>
        <w:numPr>
          <w:ilvl w:val="0"/>
          <w:numId w:val="0"/>
        </w:numPr>
        <w:spacing w:line="360" w:lineRule="auto"/>
        <w:rPr>
          <w:rFonts w:hint="default" w:ascii="仿宋_GB2312" w:eastAsia="仿宋_GB2312"/>
          <w:sz w:val="32"/>
          <w:szCs w:val="32"/>
          <w:lang w:val="en-US" w:eastAsia="zh-CN"/>
        </w:rPr>
      </w:pP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项目资金预算</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13.4014</w:t>
      </w:r>
      <w:r>
        <w:rPr>
          <w:rFonts w:hint="eastAsia" w:ascii="仿宋_GB2312" w:hAnsi="仿宋_GB2312" w:eastAsia="仿宋_GB2312" w:cs="仿宋_GB2312"/>
          <w:sz w:val="32"/>
          <w:szCs w:val="32"/>
        </w:rPr>
        <w:t>万元，结余</w:t>
      </w:r>
      <w:r>
        <w:rPr>
          <w:rFonts w:hint="eastAsia" w:ascii="仿宋_GB2312" w:hAnsi="仿宋_GB2312" w:eastAsia="仿宋_GB2312" w:cs="仿宋_GB2312"/>
          <w:sz w:val="32"/>
          <w:szCs w:val="32"/>
          <w:lang w:val="en-US" w:eastAsia="zh-CN"/>
        </w:rPr>
        <w:t>20.5986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实际支出情况包括：1.乳源瑶族自治县自然资源局标识、宣传项目合同8000元；2.三知下乡-八不准印刷费用12000元。</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.乳源瑶族自治县323线改建工程道路测量技术服务31200元；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.大桥镇安置房以及品悦蝴蝶谷精品民宿21600元；</w:t>
      </w:r>
      <w:r>
        <w:rPr>
          <w:rFonts w:hint="eastAsia" w:ascii="仿宋_GB2312" w:hAnsi="仿宋_GB2312" w:eastAsia="仿宋_GB2312" w:cs="仿宋_GB2312"/>
          <w:sz w:val="32"/>
          <w:szCs w:val="32"/>
          <w:lang w:val="en-US" w:eastAsia="zh-CN"/>
        </w:rPr>
        <w:t>5.广东省自然资源在线巡查系统服务协议（4G网络服务）9600元；6.2022年12月至2023年10月邮递费1614元。7.车辆使用费50000元。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rPr>
        <w:t>公众的满意度高，没有造成社会不公而引起纠纷、上访等，不会影响环境、生态发展，资金使用做到专账管理，专款专用，更好的服务经济社会。</w:t>
      </w:r>
    </w:p>
    <w:p>
      <w:pPr>
        <w:numPr>
          <w:ilvl w:val="0"/>
          <w:numId w:val="2"/>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违法用地的</w:t>
      </w:r>
      <w:r>
        <w:rPr>
          <w:rFonts w:hint="eastAsia" w:ascii="仿宋_GB2312" w:hAnsi="仿宋_GB2312" w:eastAsia="仿宋_GB2312" w:cs="仿宋_GB2312"/>
          <w:sz w:val="32"/>
          <w:szCs w:val="32"/>
          <w:lang w:val="en-US" w:eastAsia="zh-CN"/>
        </w:rPr>
        <w:t>巡查发现、制止、</w:t>
      </w:r>
      <w:r>
        <w:rPr>
          <w:rFonts w:hint="eastAsia" w:ascii="仿宋_GB2312" w:hAnsi="仿宋_GB2312" w:eastAsia="仿宋_GB2312" w:cs="仿宋_GB2312"/>
          <w:sz w:val="32"/>
          <w:szCs w:val="32"/>
          <w:lang w:eastAsia="zh-CN"/>
        </w:rPr>
        <w:t>拆除、复耕复绿工作</w:t>
      </w:r>
      <w:r>
        <w:rPr>
          <w:rFonts w:hint="eastAsia" w:ascii="仿宋_GB2312" w:hAnsi="仿宋_GB2312" w:eastAsia="仿宋_GB2312" w:cs="仿宋_GB2312"/>
          <w:sz w:val="32"/>
          <w:szCs w:val="32"/>
          <w:lang w:val="en-US" w:eastAsia="zh-CN"/>
        </w:rPr>
        <w:t>是日常工作，负责全县土地资源法律法规执行情况的监督检查，指导基层自然资源所执法监察工作；负责完成全县土地矿产卫片执法检查工作，定期组织对执行土地、矿产资源法律法规的行政行为监督检查，维护全县自然资源管理秩序，财政资金吃紧，且仅来源于本部门罚没收入，导致支出率低。</w:t>
      </w:r>
    </w:p>
    <w:p>
      <w:pPr>
        <w:numPr>
          <w:ilvl w:val="0"/>
          <w:numId w:val="0"/>
        </w:numPr>
        <w:spacing w:line="360" w:lineRule="auto"/>
        <w:rPr>
          <w:rFonts w:hint="eastAsia" w:ascii="仿宋_GB2312" w:eastAsia="仿宋_GB2312"/>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今年各类卫片任务堆叠，土地巡查执法工作经费仅来源于本单位罚没收入，建议加大经费的投入，确保日常拆除、存量违法、法院裁定书、基本农田种草皮等各类违法用地行为整改工作得到保障。</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15DDD"/>
    <w:multiLevelType w:val="singleLevel"/>
    <w:tmpl w:val="B0115DDD"/>
    <w:lvl w:ilvl="0" w:tentative="0">
      <w:start w:val="2"/>
      <w:numFmt w:val="chineseCounting"/>
      <w:suff w:val="nothing"/>
      <w:lvlText w:val="（%1）"/>
      <w:lvlJc w:val="left"/>
      <w:rPr>
        <w:rFonts w:hint="eastAsia"/>
      </w:rPr>
    </w:lvl>
  </w:abstractNum>
  <w:abstractNum w:abstractNumId="1">
    <w:nsid w:val="443AEEEB"/>
    <w:multiLevelType w:val="singleLevel"/>
    <w:tmpl w:val="443AEEE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EwZGQyMWI1NDNjYTY4MTk3OTM4N2Y3NzI3MjU1ODg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1E75625"/>
    <w:rsid w:val="2A0C3112"/>
    <w:rsid w:val="39921607"/>
    <w:rsid w:val="468762A1"/>
    <w:rsid w:val="5375086E"/>
    <w:rsid w:val="561A51B7"/>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5</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大頭</cp:lastModifiedBy>
  <cp:lastPrinted>2018-10-25T10:57:00Z</cp:lastPrinted>
  <dcterms:modified xsi:type="dcterms:W3CDTF">2024-03-28T02:14:09Z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