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购买不动产登记责任保险财政支出项目绩效自评报告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通过购买不动产登记责任保险，保障被登记人因不动产登记中心因失误造成的经济损失。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不动产登记责任保险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资金实际总投入为1.5万元。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万元，拨付给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保险公司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项目保障被登记人因不动产登记中心因失误造成的经济损失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sz w:val="32"/>
          <w:szCs w:val="32"/>
        </w:rPr>
        <w:t>高，没有造成社会不公而引起纠纷、上访等，不会影响环境、生态发展，资金使用做到专账管理，专款专用，更好的服务经济社会。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06F75F"/>
    <w:multiLevelType w:val="singleLevel"/>
    <w:tmpl w:val="7206F75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jMWNlMDhhZTFjODAzMjFhNDMxMDIyZGYyZjIzNz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54D30199"/>
    <w:rsid w:val="5C3947E2"/>
    <w:rsid w:val="79F52D8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平川</cp:lastModifiedBy>
  <cp:lastPrinted>2018-10-25T10:57:00Z</cp:lastPrinted>
  <dcterms:modified xsi:type="dcterms:W3CDTF">2024-03-27T09:42:14Z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