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乳源县</w:t>
      </w:r>
      <w:r>
        <w:rPr>
          <w:rFonts w:hint="eastAsia" w:ascii="宋体" w:hAnsi="宋体"/>
          <w:b/>
          <w:sz w:val="36"/>
          <w:szCs w:val="36"/>
          <w:lang w:eastAsia="zh-CN"/>
        </w:rPr>
        <w:t>城乡规划管理</w:t>
      </w:r>
      <w:r>
        <w:rPr>
          <w:rFonts w:hint="eastAsia" w:ascii="宋体" w:hAnsi="宋体"/>
          <w:b/>
          <w:sz w:val="36"/>
          <w:szCs w:val="36"/>
        </w:rPr>
        <w:t>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800" w:firstLineChars="25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（一）项目基本情况</w:t>
      </w:r>
    </w:p>
    <w:p>
      <w:pPr>
        <w:spacing w:line="360" w:lineRule="auto"/>
        <w:ind w:firstLine="800" w:firstLineChars="25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为了加强我县城乡规划管理，进一步完善规划许可及审批流程，保障公众对城市建设工作的知情权、参与权和监督权，根据《广东省城乡规划条例》（以下简称《条例》）第二十九条“ 规划许可或者审批机关作出许可或者审批决定前，应当将许可或者审批内容、申请人和利害关系人享有的权利等事项在政府网站、建设项目现场进行公示，公示时间不得少于十日”和第三十一条“规划许可或者审批事项批准后十五日内，许可或者审批机关应当在政府网站进行公告”，我局将对规划许可或者审批事项进行批前公示、批后公告。由于该规划管理工作量大，规划管理股工作人员少，难以在法定程序内完成工作，因此我局委托第三方开展此项工作，工作内容包括：制作批前公示和批后公告图在现场及政府网站进行公示，并提供公示现场前、中、后三个阶段照片作为行政许可备案资料。根据《条例》第七条“各级人民政府应当将城乡规划的编制和管理经费纳入本级财政预算”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县财政拨付我局城乡规划管理经费共80万</w:t>
      </w:r>
      <w:r>
        <w:rPr>
          <w:rFonts w:hint="eastAsia" w:ascii="仿宋_GB2312" w:hAnsi="宋体" w:eastAsia="仿宋_GB2312"/>
          <w:sz w:val="32"/>
          <w:szCs w:val="32"/>
        </w:rPr>
        <w:t>元。</w:t>
      </w:r>
    </w:p>
    <w:p>
      <w:pPr>
        <w:spacing w:line="360" w:lineRule="auto"/>
        <w:ind w:firstLine="640" w:firstLineChars="200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自评结论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本次项目绩效自评等级为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优</w:t>
      </w:r>
      <w:r>
        <w:rPr>
          <w:rFonts w:hint="eastAsia" w:ascii="仿宋_GB2312" w:hAnsi="宋体" w:eastAsia="仿宋_GB2312"/>
          <w:sz w:val="32"/>
          <w:szCs w:val="32"/>
        </w:rPr>
        <w:t>，自评分数为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宋体" w:eastAsia="仿宋_GB2312"/>
          <w:sz w:val="32"/>
          <w:szCs w:val="32"/>
        </w:rPr>
        <w:t>分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项目申报内容符合资金管理办法、申报指南等规定的要求。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项目资金落实到位。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我县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城乡规划管理费用共80万</w:t>
      </w:r>
      <w:r>
        <w:rPr>
          <w:rFonts w:hint="eastAsia" w:ascii="仿宋_GB2312" w:hAnsi="宋体" w:eastAsia="仿宋_GB2312"/>
          <w:sz w:val="32"/>
          <w:szCs w:val="32"/>
        </w:rPr>
        <w:t>元，并已经到位。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资金支出符合规范、凭证齐全。项目资金的支出都由国库集中支付，并保留有国库集中支付拨款凭证。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项目实际投入与预算相符，支出金额为80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万元，支出率为100%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及时完成了上级下达的任务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公众满意度高，未造成社会不公而引起纠纷、上访等，不会影响环境、生态发展，资金使用做到转账管理，专款专用，更好的服务经济社会。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ind w:firstLine="640" w:firstLineChars="200"/>
        <w:rPr>
          <w:rFonts w:hint="eastAsia" w:eastAsia="宋体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/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c0ODVjYTA1ODhhZTRkOGJkOTA2ODRhMzFmNTkxZjA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6AD19E8"/>
    <w:rsid w:val="1BEA0FB0"/>
    <w:rsid w:val="2A0C3112"/>
    <w:rsid w:val="35CA6BE3"/>
    <w:rsid w:val="39921607"/>
    <w:rsid w:val="468762A1"/>
    <w:rsid w:val="5375086E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WPS_1602486916</cp:lastModifiedBy>
  <cp:lastPrinted>2018-10-25T10:57:00Z</cp:lastPrinted>
  <dcterms:modified xsi:type="dcterms:W3CDTF">2024-04-01T09:04:03Z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