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hint="eastAsia" w:ascii="宋体" w:hAnsi="宋体"/>
          <w:b/>
          <w:sz w:val="36"/>
          <w:szCs w:val="36"/>
        </w:rPr>
      </w:pPr>
      <w:r>
        <w:rPr>
          <w:rFonts w:hint="eastAsia" w:ascii="宋体" w:hAnsi="宋体"/>
          <w:b/>
          <w:sz w:val="36"/>
          <w:szCs w:val="36"/>
        </w:rPr>
        <w:t>财政支出项目绩效自评报告</w:t>
      </w:r>
    </w:p>
    <w:p>
      <w:pPr>
        <w:jc w:val="center"/>
        <w:rPr>
          <w:rFonts w:ascii="宋体" w:hAnsi="宋体"/>
          <w:b/>
          <w:sz w:val="36"/>
          <w:szCs w:val="36"/>
        </w:rPr>
      </w:pPr>
      <w:r>
        <w:rPr>
          <w:rFonts w:hint="eastAsia" w:ascii="宋体" w:hAnsi="宋体"/>
          <w:b/>
          <w:sz w:val="36"/>
          <w:szCs w:val="36"/>
        </w:rPr>
        <w:t>（</w:t>
      </w:r>
      <w:r>
        <w:rPr>
          <w:rFonts w:hint="eastAsia" w:ascii="宋体" w:hAnsi="宋体"/>
          <w:b/>
          <w:sz w:val="36"/>
          <w:szCs w:val="36"/>
          <w:lang w:val="en-US" w:eastAsia="zh-CN"/>
        </w:rPr>
        <w:t>乳源瑶族自治县行政服务中心</w:t>
      </w:r>
      <w:r>
        <w:rPr>
          <w:rFonts w:hint="eastAsia" w:ascii="宋体" w:hAnsi="宋体"/>
          <w:b/>
          <w:sz w:val="36"/>
          <w:szCs w:val="36"/>
        </w:rPr>
        <w:t>）</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560" w:lineRule="exact"/>
        <w:ind w:firstLine="640" w:firstLineChars="200"/>
        <w:rPr>
          <w:rFonts w:hint="default" w:ascii="Times New Roman" w:hAnsi="Times New Roman" w:eastAsia="仿宋_GB2312" w:cs="Times New Roman"/>
          <w:sz w:val="32"/>
          <w:szCs w:val="32"/>
        </w:rPr>
      </w:pPr>
      <w:r>
        <w:rPr>
          <w:rFonts w:hint="eastAsia" w:ascii="仿宋_GB2312" w:eastAsia="仿宋_GB2312"/>
          <w:sz w:val="32"/>
          <w:szCs w:val="32"/>
        </w:rPr>
        <w:t>乳源瑶族自治县行政服务中心是县人民政府直属正科级公益一类事业单位。共</w:t>
      </w:r>
      <w:r>
        <w:rPr>
          <w:rFonts w:hint="default" w:ascii="Times New Roman" w:hAnsi="Times New Roman" w:eastAsia="仿宋_GB2312" w:cs="Times New Roman"/>
          <w:sz w:val="32"/>
          <w:szCs w:val="32"/>
        </w:rPr>
        <w:t>有</w:t>
      </w:r>
      <w:r>
        <w:rPr>
          <w:rFonts w:hint="default" w:ascii="Times New Roman" w:hAnsi="Times New Roman" w:eastAsia="仿宋_GB2312" w:cs="Times New Roman"/>
          <w:sz w:val="32"/>
          <w:szCs w:val="32"/>
          <w:lang w:eastAsia="zh-CN"/>
        </w:rPr>
        <w:t>参公管理</w:t>
      </w:r>
      <w:r>
        <w:rPr>
          <w:rFonts w:hint="default" w:ascii="Times New Roman" w:hAnsi="Times New Roman" w:eastAsia="仿宋_GB2312" w:cs="Times New Roman"/>
          <w:sz w:val="32"/>
          <w:szCs w:val="32"/>
        </w:rPr>
        <w:t>事业编制</w:t>
      </w:r>
      <w:r>
        <w:rPr>
          <w:rFonts w:hint="eastAsia" w:eastAsia="仿宋_GB2312" w:cs="Times New Roman"/>
          <w:sz w:val="32"/>
          <w:szCs w:val="32"/>
          <w:lang w:val="en-US" w:eastAsia="zh-CN"/>
        </w:rPr>
        <w:t>10</w:t>
      </w:r>
      <w:r>
        <w:rPr>
          <w:rFonts w:hint="default" w:ascii="Times New Roman" w:hAnsi="Times New Roman" w:eastAsia="仿宋_GB2312" w:cs="Times New Roman"/>
          <w:sz w:val="32"/>
          <w:szCs w:val="32"/>
        </w:rPr>
        <w:t>名，</w:t>
      </w:r>
      <w:r>
        <w:rPr>
          <w:rFonts w:hint="default" w:ascii="Times New Roman" w:hAnsi="Times New Roman" w:eastAsia="仿宋_GB2312" w:cs="Times New Roman"/>
          <w:sz w:val="32"/>
          <w:szCs w:val="32"/>
          <w:lang w:eastAsia="zh-CN"/>
        </w:rPr>
        <w:t>工勤</w:t>
      </w:r>
      <w:r>
        <w:rPr>
          <w:rFonts w:hint="eastAsia" w:eastAsia="仿宋_GB2312" w:cs="Times New Roman"/>
          <w:sz w:val="32"/>
          <w:szCs w:val="32"/>
          <w:lang w:val="en-US" w:eastAsia="zh-CN"/>
        </w:rPr>
        <w:t>编</w:t>
      </w:r>
      <w:r>
        <w:rPr>
          <w:rFonts w:hint="default" w:ascii="Times New Roman" w:hAnsi="Times New Roman" w:eastAsia="仿宋_GB2312" w:cs="Times New Roman"/>
          <w:sz w:val="32"/>
          <w:szCs w:val="32"/>
        </w:rPr>
        <w:t>1名，</w:t>
      </w:r>
      <w:r>
        <w:rPr>
          <w:rFonts w:hint="eastAsia" w:eastAsia="仿宋_GB2312" w:cs="Times New Roman"/>
          <w:sz w:val="32"/>
          <w:szCs w:val="32"/>
          <w:lang w:val="en-US" w:eastAsia="zh-CN"/>
        </w:rPr>
        <w:t>在职人员9人，</w:t>
      </w:r>
      <w:r>
        <w:rPr>
          <w:rFonts w:hint="default" w:ascii="Times New Roman" w:hAnsi="Times New Roman" w:eastAsia="仿宋_GB2312" w:cs="Times New Roman"/>
          <w:sz w:val="32"/>
          <w:szCs w:val="32"/>
        </w:rPr>
        <w:t>退休人员</w:t>
      </w: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rPr>
        <w:t>人</w:t>
      </w:r>
      <w:r>
        <w:rPr>
          <w:rFonts w:hint="eastAsia" w:eastAsia="仿宋_GB2312" w:cs="Times New Roman"/>
          <w:sz w:val="32"/>
          <w:szCs w:val="32"/>
          <w:lang w:eastAsia="zh-CN"/>
        </w:rPr>
        <w:t>，</w:t>
      </w:r>
      <w:r>
        <w:rPr>
          <w:rFonts w:hint="default" w:ascii="Times New Roman" w:hAnsi="Times New Roman" w:eastAsia="仿宋_GB2312" w:cs="Times New Roman"/>
          <w:sz w:val="32"/>
          <w:szCs w:val="32"/>
          <w:lang w:eastAsia="zh-CN"/>
        </w:rPr>
        <w:t>政府购买服务人员</w:t>
      </w:r>
      <w:r>
        <w:rPr>
          <w:rFonts w:hint="default" w:ascii="Times New Roman" w:hAnsi="Times New Roman" w:eastAsia="仿宋_GB2312" w:cs="Times New Roman"/>
          <w:sz w:val="32"/>
          <w:szCs w:val="32"/>
          <w:lang w:val="en-US" w:eastAsia="zh-CN"/>
        </w:rPr>
        <w:t>12人，</w:t>
      </w:r>
      <w:r>
        <w:rPr>
          <w:rFonts w:hint="eastAsia" w:eastAsia="仿宋_GB2312" w:cs="Times New Roman"/>
          <w:sz w:val="32"/>
          <w:szCs w:val="32"/>
          <w:lang w:val="en-US" w:eastAsia="zh-CN"/>
        </w:rPr>
        <w:t>后勤服务人员5人。</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主要职责：负责县政务服务管理工作委员会日常工作，组织、协调、指导和规范全县行政审批服务工作；负责确定和调整进驻中心办事大厅的窗口单位，并对进驻窗口进行日常监管；备案、公布进驻的行政审批事项和社会服务事项；负责对进驻办事大厅的窗口单位的考评工作；对办事大厅窗口工作人员的考勤、考核和学习培训工作；为窗口和工作人员提供后勤保障；负责县并联审批管理工作日常事务，跟踪服务重点投资项目；负责行政服务中心资产的管理和维护；负责行政服务中心监控机房设备和网络系统使用和管理；负责对行政审批事项网上受理、网上审批情况进行监管，定期统计、分析、通报和业务指导；负责对镇公共服务中心和村（社区）公共服务站进行考核、监督和业务指导；负责受理涉及县政务服务的投诉，并配合县纪检监察部门进行查处；承办县人民政府交办的其它事项。</w:t>
      </w:r>
    </w:p>
    <w:p>
      <w:pPr>
        <w:spacing w:line="560" w:lineRule="exact"/>
        <w:ind w:firstLine="640" w:firstLineChars="200"/>
        <w:rPr>
          <w:rFonts w:hint="eastAsia" w:ascii="Times New Roman" w:hAnsi="Times New Roman" w:eastAsia="仿宋_GB2312" w:cs="Times New Roman"/>
          <w:sz w:val="32"/>
          <w:szCs w:val="32"/>
        </w:rPr>
      </w:pP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numPr>
          <w:ilvl w:val="0"/>
          <w:numId w:val="0"/>
        </w:numPr>
        <w:spacing w:line="360" w:lineRule="auto"/>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邮政速递-“直通车”项目资金主要用于全面推广邮寄服务，为群众进行政务寄件提供方便，按照财政要求资金专款专用。项目资金用分管领导审核把关，经主要领导审批后报出纳支付，当月会计及时按实际发生情况进行财务处理和会计核算。</w:t>
      </w:r>
    </w:p>
    <w:p>
      <w:pPr>
        <w:numPr>
          <w:ilvl w:val="0"/>
          <w:numId w:val="1"/>
        </w:numPr>
        <w:spacing w:line="360" w:lineRule="auto"/>
        <w:ind w:left="0" w:leftChars="0" w:firstLine="640" w:firstLineChars="200"/>
        <w:rPr>
          <w:rFonts w:hint="eastAsia" w:ascii="仿宋_GB2312" w:eastAsia="仿宋_GB2312"/>
          <w:sz w:val="32"/>
          <w:szCs w:val="32"/>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spacing w:line="360" w:lineRule="auto"/>
        <w:ind w:firstLine="640" w:firstLineChars="200"/>
        <w:rPr>
          <w:rFonts w:hint="eastAsia" w:ascii="仿宋_GB2312" w:eastAsia="仿宋_GB2312"/>
          <w:sz w:val="32"/>
          <w:szCs w:val="32"/>
        </w:rPr>
      </w:pPr>
      <w:r>
        <w:rPr>
          <w:rFonts w:hint="eastAsia" w:eastAsia="仿宋_GB2312" w:cs="Times New Roman"/>
          <w:sz w:val="32"/>
          <w:szCs w:val="32"/>
          <w:lang w:val="en-US" w:eastAsia="zh-CN"/>
        </w:rPr>
        <w:t>我单位根据专项绩效评定对项</w:t>
      </w:r>
      <w:r>
        <w:rPr>
          <w:rFonts w:hint="default" w:ascii="Times New Roman" w:hAnsi="Times New Roman" w:eastAsia="仿宋_GB2312" w:cs="Times New Roman"/>
          <w:sz w:val="32"/>
          <w:szCs w:val="32"/>
        </w:rPr>
        <w:t>目</w:t>
      </w:r>
      <w:r>
        <w:rPr>
          <w:rFonts w:hint="eastAsia" w:eastAsia="仿宋_GB2312" w:cs="Times New Roman"/>
          <w:sz w:val="32"/>
          <w:szCs w:val="32"/>
          <w:lang w:val="en-US" w:eastAsia="zh-CN"/>
        </w:rPr>
        <w:t>进行量化评价，</w:t>
      </w:r>
      <w:r>
        <w:rPr>
          <w:rFonts w:hint="default" w:ascii="Times New Roman" w:hAnsi="Times New Roman" w:eastAsia="仿宋_GB2312" w:cs="Times New Roman"/>
          <w:sz w:val="32"/>
          <w:szCs w:val="32"/>
        </w:rPr>
        <w:t>自评</w:t>
      </w:r>
      <w:r>
        <w:rPr>
          <w:rFonts w:hint="eastAsia" w:eastAsia="仿宋_GB2312" w:cs="Times New Roman"/>
          <w:sz w:val="32"/>
          <w:szCs w:val="32"/>
          <w:lang w:val="en-US" w:eastAsia="zh-CN"/>
        </w:rPr>
        <w:t>分数</w:t>
      </w:r>
      <w:r>
        <w:rPr>
          <w:rFonts w:hint="default" w:ascii="Times New Roman" w:hAnsi="Times New Roman" w:eastAsia="仿宋_GB2312" w:cs="Times New Roman"/>
          <w:sz w:val="32"/>
          <w:szCs w:val="32"/>
        </w:rPr>
        <w:t>为</w:t>
      </w:r>
      <w:r>
        <w:rPr>
          <w:rFonts w:hint="eastAsia" w:eastAsia="仿宋_GB2312" w:cs="Times New Roman"/>
          <w:sz w:val="32"/>
          <w:szCs w:val="32"/>
          <w:lang w:val="en-US" w:eastAsia="zh-CN"/>
        </w:rPr>
        <w:t>94</w:t>
      </w:r>
      <w:r>
        <w:rPr>
          <w:rFonts w:hint="default" w:ascii="Times New Roman" w:hAnsi="Times New Roman" w:eastAsia="仿宋_GB2312" w:cs="Times New Roman"/>
          <w:sz w:val="32"/>
          <w:szCs w:val="32"/>
        </w:rPr>
        <w:t>分</w:t>
      </w:r>
      <w:r>
        <w:rPr>
          <w:rFonts w:hint="eastAsia" w:eastAsia="仿宋_GB2312" w:cs="Times New Roman"/>
          <w:sz w:val="32"/>
          <w:szCs w:val="32"/>
          <w:lang w:eastAsia="zh-CN"/>
        </w:rPr>
        <w:t>，</w:t>
      </w:r>
      <w:r>
        <w:rPr>
          <w:rFonts w:hint="eastAsia" w:eastAsia="仿宋_GB2312" w:cs="Times New Roman"/>
          <w:sz w:val="32"/>
          <w:szCs w:val="32"/>
          <w:lang w:val="en-US" w:eastAsia="zh-CN"/>
        </w:rPr>
        <w:t>等级为优</w:t>
      </w:r>
      <w:r>
        <w:rPr>
          <w:rFonts w:hint="default" w:ascii="Times New Roman" w:hAnsi="Times New Roman" w:eastAsia="仿宋_GB2312" w:cs="Times New Roman"/>
          <w:sz w:val="32"/>
          <w:szCs w:val="32"/>
        </w:rPr>
        <w:t>。</w:t>
      </w:r>
    </w:p>
    <w:p>
      <w:pPr>
        <w:numPr>
          <w:ilvl w:val="0"/>
          <w:numId w:val="2"/>
        </w:numPr>
        <w:spacing w:line="360" w:lineRule="auto"/>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项目立项（12分）：项目的申请、设立过程符合相关要求，设立的绩效目标合理，绩效指标细化、明确、清晰、可衡量。</w:t>
      </w:r>
    </w:p>
    <w:p>
      <w:pPr>
        <w:numPr>
          <w:ilvl w:val="0"/>
          <w:numId w:val="2"/>
        </w:numPr>
        <w:spacing w:line="360" w:lineRule="auto"/>
        <w:ind w:firstLine="640" w:firstLineChars="200"/>
        <w:rPr>
          <w:rFonts w:hint="default" w:eastAsia="仿宋_GB2312" w:cs="Times New Roman"/>
          <w:sz w:val="32"/>
          <w:szCs w:val="32"/>
          <w:lang w:val="en-US" w:eastAsia="zh-CN"/>
        </w:rPr>
      </w:pPr>
      <w:r>
        <w:rPr>
          <w:rFonts w:hint="eastAsia" w:eastAsia="仿宋_GB2312" w:cs="Times New Roman"/>
          <w:sz w:val="32"/>
          <w:szCs w:val="32"/>
          <w:lang w:val="en-US" w:eastAsia="zh-CN"/>
        </w:rPr>
        <w:t>资金落实（8分）：资金落实到位情况良好。</w:t>
      </w:r>
    </w:p>
    <w:p>
      <w:pPr>
        <w:numPr>
          <w:ilvl w:val="0"/>
          <w:numId w:val="0"/>
        </w:numPr>
        <w:spacing w:line="360" w:lineRule="auto"/>
        <w:ind w:left="638" w:leftChars="304" w:firstLine="0" w:firstLineChars="0"/>
        <w:rPr>
          <w:rFonts w:hint="default" w:eastAsia="仿宋_GB2312" w:cs="Times New Roman"/>
          <w:sz w:val="32"/>
          <w:szCs w:val="32"/>
          <w:lang w:val="en-US" w:eastAsia="zh-CN"/>
        </w:rPr>
      </w:pPr>
      <w:r>
        <w:rPr>
          <w:rFonts w:hint="eastAsia" w:eastAsia="仿宋_GB2312" w:cs="Times New Roman"/>
          <w:sz w:val="32"/>
          <w:szCs w:val="32"/>
          <w:lang w:val="en-US" w:eastAsia="zh-CN"/>
        </w:rPr>
        <w:t>3、资金管理（10分）：资金支出率为91.01%，未将项目预算计划资金全部支出。资金支出规范，</w:t>
      </w:r>
      <w:r>
        <w:rPr>
          <w:rFonts w:hint="eastAsia" w:ascii="仿宋_GB2312" w:hAnsi="仿宋_GB2312" w:eastAsia="仿宋_GB2312"/>
          <w:sz w:val="32"/>
          <w:szCs w:val="32"/>
          <w:lang w:val="en-US" w:eastAsia="zh-CN"/>
        </w:rPr>
        <w:t>支付标准、范围、依据合法合规。</w:t>
      </w:r>
    </w:p>
    <w:p>
      <w:pPr>
        <w:numPr>
          <w:ilvl w:val="0"/>
          <w:numId w:val="2"/>
        </w:numPr>
        <w:spacing w:line="360" w:lineRule="auto"/>
        <w:ind w:firstLine="640" w:firstLineChars="200"/>
        <w:rPr>
          <w:rFonts w:hint="default" w:eastAsia="仿宋_GB2312" w:cs="Times New Roman"/>
          <w:sz w:val="32"/>
          <w:szCs w:val="32"/>
          <w:lang w:val="en-US" w:eastAsia="zh-CN"/>
        </w:rPr>
      </w:pPr>
      <w:r>
        <w:rPr>
          <w:rFonts w:hint="eastAsia" w:eastAsia="仿宋_GB2312" w:cs="Times New Roman"/>
          <w:sz w:val="32"/>
          <w:szCs w:val="32"/>
          <w:lang w:val="en-US" w:eastAsia="zh-CN"/>
        </w:rPr>
        <w:t>事项管理（8分）：制度执行有效，项目监管有效。</w:t>
      </w:r>
    </w:p>
    <w:p>
      <w:pPr>
        <w:numPr>
          <w:ilvl w:val="0"/>
          <w:numId w:val="2"/>
        </w:numPr>
        <w:spacing w:line="360" w:lineRule="auto"/>
        <w:ind w:firstLine="640" w:firstLineChars="200"/>
        <w:rPr>
          <w:rFonts w:hint="default" w:eastAsia="仿宋_GB2312" w:cs="Times New Roman"/>
          <w:sz w:val="32"/>
          <w:szCs w:val="32"/>
          <w:lang w:val="en-US" w:eastAsia="zh-CN"/>
        </w:rPr>
      </w:pPr>
      <w:r>
        <w:rPr>
          <w:rFonts w:hint="eastAsia" w:eastAsia="仿宋_GB2312" w:cs="Times New Roman"/>
          <w:sz w:val="32"/>
          <w:szCs w:val="32"/>
          <w:lang w:val="en-US" w:eastAsia="zh-CN"/>
        </w:rPr>
        <w:t>项目产出（28分）：项目资金支出完成率91.01%，任务完成率100%，项目成本控制率100%。</w:t>
      </w:r>
    </w:p>
    <w:p>
      <w:pPr>
        <w:numPr>
          <w:ilvl w:val="0"/>
          <w:numId w:val="0"/>
        </w:numPr>
        <w:spacing w:line="360" w:lineRule="auto"/>
        <w:ind w:leftChars="200" w:firstLine="320" w:firstLineChars="100"/>
        <w:rPr>
          <w:rFonts w:hint="default" w:ascii="黑体" w:eastAsia="黑体"/>
          <w:sz w:val="32"/>
          <w:szCs w:val="32"/>
          <w:lang w:val="en-US"/>
        </w:rPr>
      </w:pPr>
      <w:r>
        <w:rPr>
          <w:rFonts w:hint="eastAsia" w:eastAsia="仿宋_GB2312" w:cs="Times New Roman"/>
          <w:sz w:val="32"/>
          <w:szCs w:val="32"/>
          <w:lang w:val="en-US" w:eastAsia="zh-CN"/>
        </w:rPr>
        <w:t>5、项目效益（28分）：项目实施对经济效益、社会效益好，</w:t>
      </w:r>
      <w:r>
        <w:rPr>
          <w:rFonts w:hint="eastAsia" w:ascii="仿宋_GB2312" w:eastAsia="仿宋_GB2312"/>
          <w:sz w:val="32"/>
          <w:szCs w:val="32"/>
          <w:lang w:val="en-US" w:eastAsia="zh-CN"/>
        </w:rPr>
        <w:t>通过该</w:t>
      </w:r>
      <w:r>
        <w:rPr>
          <w:rFonts w:hint="eastAsia" w:ascii="仿宋_GB2312" w:hAnsi="仿宋_GB2312" w:eastAsia="仿宋_GB2312"/>
          <w:sz w:val="32"/>
          <w:szCs w:val="32"/>
          <w:lang w:val="en-US" w:eastAsia="zh-CN"/>
        </w:rPr>
        <w:t>项目的大力推广，为群众进行政务寄件提供方便，提升了便民利民服务能力，促进经济可持续发展，优化了营商环境。</w:t>
      </w:r>
      <w:bookmarkStart w:id="0" w:name="_GoBack"/>
      <w:bookmarkEnd w:id="0"/>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项目资金实际总投入11500元，资金来源为年初预算。</w:t>
      </w:r>
    </w:p>
    <w:p>
      <w:pPr>
        <w:numPr>
          <w:ilvl w:val="0"/>
          <w:numId w:val="3"/>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numPr>
          <w:ilvl w:val="0"/>
          <w:numId w:val="0"/>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lang w:val="en-US" w:eastAsia="zh-CN"/>
        </w:rPr>
        <w:t>该项目2023年</w:t>
      </w:r>
      <w:r>
        <w:rPr>
          <w:rFonts w:hint="eastAsia" w:ascii="仿宋_GB2312" w:hAnsi="仿宋_GB2312" w:eastAsia="仿宋_GB2312"/>
          <w:sz w:val="32"/>
          <w:szCs w:val="32"/>
        </w:rPr>
        <w:t>实际</w:t>
      </w:r>
      <w:r>
        <w:rPr>
          <w:rFonts w:hint="eastAsia" w:ascii="仿宋_GB2312" w:hAnsi="仿宋_GB2312" w:eastAsia="仿宋_GB2312"/>
          <w:sz w:val="32"/>
          <w:szCs w:val="32"/>
          <w:lang w:val="en-US" w:eastAsia="zh-CN"/>
        </w:rPr>
        <w:t>总</w:t>
      </w:r>
      <w:r>
        <w:rPr>
          <w:rFonts w:hint="eastAsia" w:ascii="仿宋_GB2312" w:hAnsi="仿宋_GB2312" w:eastAsia="仿宋_GB2312"/>
          <w:sz w:val="32"/>
          <w:szCs w:val="32"/>
        </w:rPr>
        <w:t>支出</w:t>
      </w:r>
      <w:r>
        <w:rPr>
          <w:rFonts w:hint="eastAsia" w:ascii="仿宋_GB2312" w:hAnsi="仿宋_GB2312" w:eastAsia="仿宋_GB2312"/>
          <w:sz w:val="32"/>
          <w:szCs w:val="32"/>
          <w:lang w:val="en-US" w:eastAsia="zh-CN"/>
        </w:rPr>
        <w:t>为10466元，支出率为91.01%。具体如下：</w:t>
      </w:r>
    </w:p>
    <w:p>
      <w:pPr>
        <w:numPr>
          <w:ilvl w:val="0"/>
          <w:numId w:val="0"/>
        </w:num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（1）3月支出2215元，用于支付本年1-2月邮寄费；</w:t>
      </w:r>
    </w:p>
    <w:p>
      <w:pPr>
        <w:numPr>
          <w:ilvl w:val="0"/>
          <w:numId w:val="0"/>
        </w:num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（2）4月支出1977元，用于2022年12月和2023年3月邮寄费；</w:t>
      </w:r>
    </w:p>
    <w:p>
      <w:pPr>
        <w:numPr>
          <w:ilvl w:val="0"/>
          <w:numId w:val="0"/>
        </w:numPr>
        <w:spacing w:line="360" w:lineRule="auto"/>
        <w:ind w:left="638" w:leftChars="304" w:firstLine="0" w:firstLineChars="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（3）5月支付934元，用于支付4月邮寄费；</w:t>
      </w:r>
    </w:p>
    <w:p>
      <w:pPr>
        <w:numPr>
          <w:ilvl w:val="0"/>
          <w:numId w:val="0"/>
        </w:numPr>
        <w:spacing w:line="360" w:lineRule="auto"/>
        <w:ind w:left="638" w:leftChars="304" w:firstLine="0" w:firstLineChars="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（4）7月支出1383元，用于支付5-6月邮寄费；</w:t>
      </w:r>
    </w:p>
    <w:p>
      <w:pPr>
        <w:numPr>
          <w:ilvl w:val="0"/>
          <w:numId w:val="0"/>
        </w:numPr>
        <w:spacing w:line="360" w:lineRule="auto"/>
        <w:ind w:left="638" w:leftChars="304" w:firstLine="0" w:firstLineChars="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（5）11月支出2459元，用于支付7-9月邮寄费；</w:t>
      </w:r>
    </w:p>
    <w:p>
      <w:pPr>
        <w:numPr>
          <w:ilvl w:val="0"/>
          <w:numId w:val="0"/>
        </w:numPr>
        <w:spacing w:line="360" w:lineRule="auto"/>
        <w:ind w:left="638" w:leftChars="304" w:firstLine="0" w:firstLineChars="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（6）12月支出1498元，用于支付10-11月邮寄费。</w:t>
      </w:r>
    </w:p>
    <w:p>
      <w:pPr>
        <w:numPr>
          <w:ilvl w:val="0"/>
          <w:numId w:val="3"/>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numPr>
          <w:ilvl w:val="0"/>
          <w:numId w:val="0"/>
        </w:numPr>
        <w:spacing w:line="360" w:lineRule="auto"/>
        <w:ind w:leftChars="200" w:firstLine="320" w:firstLineChars="1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效益指标包括经济效益和社会效益均已完成年初指标值，完成绩效目标。</w:t>
      </w:r>
    </w:p>
    <w:p>
      <w:pPr>
        <w:numPr>
          <w:ilvl w:val="0"/>
          <w:numId w:val="3"/>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numPr>
          <w:ilvl w:val="0"/>
          <w:numId w:val="0"/>
        </w:numPr>
        <w:spacing w:line="360" w:lineRule="auto"/>
        <w:ind w:leftChars="200" w:firstLine="320" w:firstLineChars="1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2023年</w:t>
      </w:r>
      <w:r>
        <w:rPr>
          <w:rFonts w:hint="eastAsia" w:ascii="仿宋_GB2312" w:eastAsia="仿宋_GB2312"/>
          <w:sz w:val="32"/>
          <w:szCs w:val="32"/>
          <w:lang w:val="en-US" w:eastAsia="zh-CN"/>
        </w:rPr>
        <w:t>邮政速递-“直通车”经费通过该</w:t>
      </w:r>
      <w:r>
        <w:rPr>
          <w:rFonts w:hint="eastAsia" w:ascii="仿宋_GB2312" w:hAnsi="仿宋_GB2312" w:eastAsia="仿宋_GB2312"/>
          <w:sz w:val="32"/>
          <w:szCs w:val="32"/>
          <w:lang w:val="en-US" w:eastAsia="zh-CN"/>
        </w:rPr>
        <w:t>项目的大力推广，为群众进行政务寄件提供方便，提升了便民利民服务能力。</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（二）存在问题。</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该项目资金还有部分未能及时支出，原因是原因是本年12月的邮寄费要在次年1月才能结算，未能及时在本年末清算。</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针对存在的问题，次年预算应该只估算1-11月份的邮寄费。加强对预算金额的精准把握。</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417B"/>
    <w:multiLevelType w:val="singleLevel"/>
    <w:tmpl w:val="FFFF417B"/>
    <w:lvl w:ilvl="0" w:tentative="0">
      <w:start w:val="2"/>
      <w:numFmt w:val="chineseCounting"/>
      <w:suff w:val="nothing"/>
      <w:lvlText w:val="（%1）"/>
      <w:lvlJc w:val="left"/>
      <w:rPr>
        <w:rFonts w:hint="eastAsia"/>
      </w:rPr>
    </w:lvl>
  </w:abstractNum>
  <w:abstractNum w:abstractNumId="1">
    <w:nsid w:val="1F0CA15C"/>
    <w:multiLevelType w:val="singleLevel"/>
    <w:tmpl w:val="1F0CA15C"/>
    <w:lvl w:ilvl="0" w:tentative="0">
      <w:start w:val="2"/>
      <w:numFmt w:val="decimal"/>
      <w:suff w:val="nothing"/>
      <w:lvlText w:val="%1、"/>
      <w:lvlJc w:val="left"/>
    </w:lvl>
  </w:abstractNum>
  <w:abstractNum w:abstractNumId="2">
    <w:nsid w:val="559D6222"/>
    <w:multiLevelType w:val="singleLevel"/>
    <w:tmpl w:val="559D6222"/>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Q0ZmMyMjllOGNjZGUyZDZmZTk1Yjk3YTM1NjNjYzU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33D7962"/>
    <w:rsid w:val="07CD3F22"/>
    <w:rsid w:val="11FC01A1"/>
    <w:rsid w:val="19EF40C6"/>
    <w:rsid w:val="1BEA0FB0"/>
    <w:rsid w:val="25145D29"/>
    <w:rsid w:val="2A0C3112"/>
    <w:rsid w:val="37494621"/>
    <w:rsid w:val="39921607"/>
    <w:rsid w:val="39C711F8"/>
    <w:rsid w:val="40C02A78"/>
    <w:rsid w:val="468762A1"/>
    <w:rsid w:val="4F4F5715"/>
    <w:rsid w:val="5375086E"/>
    <w:rsid w:val="6AF96AC0"/>
    <w:rsid w:val="75521E4E"/>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1</TotalTime>
  <ScaleCrop>false</ScaleCrop>
  <LinksUpToDate>false</LinksUpToDate>
  <CharactersWithSpaces>270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Administrator</cp:lastModifiedBy>
  <cp:lastPrinted>2018-10-25T10:57:00Z</cp:lastPrinted>
  <dcterms:modified xsi:type="dcterms:W3CDTF">2024-03-26T01:28:31Z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FA9FAD6EBB306F60FB6FD565C6D382F8</vt:lpwstr>
  </property>
</Properties>
</file>