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pPr>
        <w:spacing w:line="560" w:lineRule="exact"/>
        <w:ind w:firstLine="640" w:firstLineChars="200"/>
        <w:rPr>
          <w:rFonts w:hint="eastAsia" w:ascii="Times New Roman" w:hAnsi="Times New Roman" w:eastAsia="仿宋_GB2312" w:cs="Times New Roman"/>
          <w:sz w:val="32"/>
          <w:szCs w:val="32"/>
        </w:rPr>
      </w:pP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提高数据网上填报率，提高门户网站运营任务完成率。资金主要用于提高数据网上填报率，提高门户网站运营任务完成率，按照财政要求资金专款专用。项目资金用分管领导审核把关，经主要领导审批后报出纳支付，当月会计及时按实际发生情况进行财务处理和会计核算。</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我单位根据专项绩效评定对项</w:t>
      </w:r>
      <w:r>
        <w:rPr>
          <w:rFonts w:hint="default" w:ascii="Times New Roman" w:hAnsi="Times New Roman" w:eastAsia="仿宋_GB2312" w:cs="Times New Roman"/>
          <w:sz w:val="32"/>
          <w:szCs w:val="32"/>
        </w:rPr>
        <w:t>目</w:t>
      </w:r>
      <w:r>
        <w:rPr>
          <w:rFonts w:hint="eastAsia" w:eastAsia="仿宋_GB2312" w:cs="Times New Roman"/>
          <w:sz w:val="32"/>
          <w:szCs w:val="32"/>
          <w:lang w:val="en-US" w:eastAsia="zh-CN"/>
        </w:rPr>
        <w:t>进行量化评价，</w:t>
      </w:r>
      <w:r>
        <w:rPr>
          <w:rFonts w:hint="default" w:ascii="Times New Roman" w:hAnsi="Times New Roman" w:eastAsia="仿宋_GB2312" w:cs="Times New Roman"/>
          <w:sz w:val="32"/>
          <w:szCs w:val="32"/>
        </w:rPr>
        <w:t>自评</w:t>
      </w:r>
      <w:r>
        <w:rPr>
          <w:rFonts w:hint="eastAsia" w:eastAsia="仿宋_GB2312" w:cs="Times New Roman"/>
          <w:sz w:val="32"/>
          <w:szCs w:val="32"/>
          <w:lang w:val="en-US" w:eastAsia="zh-CN"/>
        </w:rPr>
        <w:t>分数</w:t>
      </w:r>
      <w:r>
        <w:rPr>
          <w:rFonts w:hint="default" w:ascii="Times New Roman" w:hAnsi="Times New Roman" w:eastAsia="仿宋_GB2312" w:cs="Times New Roman"/>
          <w:sz w:val="32"/>
          <w:szCs w:val="32"/>
        </w:rPr>
        <w:t>为</w:t>
      </w:r>
      <w:r>
        <w:rPr>
          <w:rFonts w:hint="eastAsia" w:eastAsia="仿宋_GB2312" w:cs="Times New Roman"/>
          <w:sz w:val="32"/>
          <w:szCs w:val="32"/>
          <w:lang w:val="en-US" w:eastAsia="zh-CN"/>
        </w:rPr>
        <w:t>98</w:t>
      </w:r>
      <w:r>
        <w:rPr>
          <w:rFonts w:hint="default" w:ascii="Times New Roman" w:hAnsi="Times New Roman" w:eastAsia="仿宋_GB2312" w:cs="Times New Roman"/>
          <w:sz w:val="32"/>
          <w:szCs w:val="32"/>
        </w:rPr>
        <w:t>分</w:t>
      </w:r>
      <w:r>
        <w:rPr>
          <w:rFonts w:hint="eastAsia" w:eastAsia="仿宋_GB2312" w:cs="Times New Roman"/>
          <w:sz w:val="32"/>
          <w:szCs w:val="32"/>
          <w:lang w:eastAsia="zh-CN"/>
        </w:rPr>
        <w:t>，</w:t>
      </w:r>
      <w:r>
        <w:rPr>
          <w:rFonts w:hint="eastAsia" w:eastAsia="仿宋_GB2312" w:cs="Times New Roman"/>
          <w:sz w:val="32"/>
          <w:szCs w:val="32"/>
          <w:lang w:val="en-US" w:eastAsia="zh-CN"/>
        </w:rPr>
        <w:t>等级为优</w:t>
      </w:r>
      <w:r>
        <w:rPr>
          <w:rFonts w:hint="default" w:ascii="Times New Roman" w:hAnsi="Times New Roman" w:eastAsia="仿宋_GB2312" w:cs="Times New Roman"/>
          <w:sz w:val="32"/>
          <w:szCs w:val="32"/>
        </w:rPr>
        <w:t>。</w:t>
      </w:r>
    </w:p>
    <w:p>
      <w:pPr>
        <w:numPr>
          <w:ilvl w:val="0"/>
          <w:numId w:val="2"/>
        </w:numPr>
        <w:spacing w:line="360" w:lineRule="auto"/>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项目立项（12分）：项目的申请、设立过程符合相关要求，设立的绩效目标合理，绩效指标细化、明确、清晰、可衡量。</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资金落实（8分）：资金落实到位情况良好。</w:t>
      </w:r>
    </w:p>
    <w:p>
      <w:pPr>
        <w:numPr>
          <w:ilvl w:val="0"/>
          <w:numId w:val="0"/>
        </w:numPr>
        <w:spacing w:line="360" w:lineRule="auto"/>
        <w:ind w:left="638" w:leftChars="304" w:firstLine="0" w:firstLineChars="0"/>
        <w:rPr>
          <w:rFonts w:hint="default" w:eastAsia="仿宋_GB2312" w:cs="Times New Roman"/>
          <w:sz w:val="32"/>
          <w:szCs w:val="32"/>
          <w:lang w:val="en-US" w:eastAsia="zh-CN"/>
        </w:rPr>
      </w:pPr>
      <w:r>
        <w:rPr>
          <w:rFonts w:hint="eastAsia" w:eastAsia="仿宋_GB2312" w:cs="Times New Roman"/>
          <w:sz w:val="32"/>
          <w:szCs w:val="32"/>
          <w:lang w:val="en-US" w:eastAsia="zh-CN"/>
        </w:rPr>
        <w:t>3、资金管理（12分）：资金支出规范，</w:t>
      </w:r>
      <w:r>
        <w:rPr>
          <w:rFonts w:hint="eastAsia" w:ascii="仿宋_GB2312" w:hAnsi="仿宋_GB2312" w:eastAsia="仿宋_GB2312"/>
          <w:sz w:val="32"/>
          <w:szCs w:val="32"/>
          <w:lang w:val="en-US" w:eastAsia="zh-CN"/>
        </w:rPr>
        <w:t>支付标准、范围、依据合法合规。</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事项管理（8分）：制度执行有效，项目监管有效。</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项目产出（30分）：项目完成率100%，完成及时率100%，质量达标率100%，成本节约率100%。</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eastAsia="仿宋_GB2312" w:cs="Times New Roman"/>
          <w:sz w:val="32"/>
          <w:szCs w:val="32"/>
          <w:lang w:val="en-US" w:eastAsia="zh-CN"/>
        </w:rPr>
        <w:t>项目效益（28分）：项目实施对经济效益、社会效益好，项目资金</w:t>
      </w:r>
      <w:r>
        <w:rPr>
          <w:rFonts w:hint="eastAsia" w:ascii="仿宋_GB2312" w:hAnsi="仿宋_GB2312" w:eastAsia="仿宋_GB2312"/>
          <w:sz w:val="32"/>
          <w:szCs w:val="32"/>
          <w:lang w:val="en-US" w:eastAsia="zh-CN"/>
        </w:rPr>
        <w:t>保障提高数据网上填报率，提高门户网站运营任务完成率，发挥示范引领作用，惩戒失信企业，优化营商环境，提升便民利民服务能力，促进经济可持续发展。</w:t>
      </w:r>
    </w:p>
    <w:p>
      <w:pPr>
        <w:numPr>
          <w:numId w:val="0"/>
        </w:numPr>
        <w:spacing w:line="360" w:lineRule="auto"/>
        <w:rPr>
          <w:rFonts w:hint="eastAsia" w:ascii="仿宋_GB2312" w:hAnsi="仿宋_GB2312" w:eastAsia="仿宋_GB2312"/>
          <w:sz w:val="32"/>
          <w:szCs w:val="32"/>
          <w:lang w:val="en-US" w:eastAsia="zh-CN"/>
        </w:rPr>
      </w:pPr>
    </w:p>
    <w:p>
      <w:pPr>
        <w:numPr>
          <w:ilvl w:val="0"/>
          <w:numId w:val="0"/>
        </w:numPr>
        <w:spacing w:line="360" w:lineRule="auto"/>
        <w:ind w:leftChars="200" w:firstLine="320" w:firstLineChars="100"/>
        <w:rPr>
          <w:rFonts w:ascii="黑体" w:eastAsia="黑体"/>
          <w:sz w:val="32"/>
          <w:szCs w:val="32"/>
        </w:rPr>
      </w:pPr>
      <w:r>
        <w:rPr>
          <w:rFonts w:hint="eastAsia" w:ascii="黑体" w:eastAsia="黑体"/>
          <w:sz w:val="32"/>
          <w:szCs w:val="32"/>
        </w:rPr>
        <w:t>二、绩效表现</w:t>
      </w:r>
      <w:bookmarkStart w:id="0" w:name="_GoBack"/>
      <w:bookmarkEnd w:id="0"/>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项目资金实际总投入50000元,资金来源为年初预算。</w:t>
      </w:r>
    </w:p>
    <w:p>
      <w:pPr>
        <w:numPr>
          <w:ilvl w:val="0"/>
          <w:numId w:val="3"/>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该项目2023年</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总</w:t>
      </w:r>
      <w:r>
        <w:rPr>
          <w:rFonts w:hint="eastAsia" w:ascii="仿宋_GB2312" w:hAnsi="仿宋_GB2312" w:eastAsia="仿宋_GB2312"/>
          <w:sz w:val="32"/>
          <w:szCs w:val="32"/>
        </w:rPr>
        <w:t>支出</w:t>
      </w:r>
      <w:r>
        <w:rPr>
          <w:rFonts w:hint="eastAsia" w:ascii="仿宋_GB2312" w:hAnsi="仿宋_GB2312" w:eastAsia="仿宋_GB2312"/>
          <w:sz w:val="32"/>
          <w:szCs w:val="32"/>
          <w:lang w:val="en-US" w:eastAsia="zh-CN"/>
        </w:rPr>
        <w:t>为50000元，具体如下：</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（1）6月支出18811.37元，用于支付征信中心工作人员工资福利；</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（2）9月支出20011.65元，用于支付征信中心工作人员工资福利；</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（3）10月支付11176.98元，用于支付征信中心工作人员工资福利。</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效益指标包括经济效益和社会效益均已完成年初指标值，完成绩效目标。</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Chars="200" w:firstLine="320" w:firstLineChars="1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2023年征信中心工作经费保障提高数据网上填报率，提高门户网站运营任务完成率，发挥示范引领作用，惩戒失信企业，优化营商环境，提升便民利民服务能力，促进经济可持续发展。</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417B"/>
    <w:multiLevelType w:val="singleLevel"/>
    <w:tmpl w:val="FFFF417B"/>
    <w:lvl w:ilvl="0" w:tentative="0">
      <w:start w:val="2"/>
      <w:numFmt w:val="chineseCounting"/>
      <w:suff w:val="nothing"/>
      <w:lvlText w:val="（%1）"/>
      <w:lvlJc w:val="left"/>
      <w:rPr>
        <w:rFonts w:hint="eastAsia"/>
      </w:rPr>
    </w:lvl>
  </w:abstractNum>
  <w:abstractNum w:abstractNumId="1">
    <w:nsid w:val="1F0CA15C"/>
    <w:multiLevelType w:val="singleLevel"/>
    <w:tmpl w:val="1F0CA15C"/>
    <w:lvl w:ilvl="0" w:tentative="0">
      <w:start w:val="2"/>
      <w:numFmt w:val="decimal"/>
      <w:suff w:val="nothing"/>
      <w:lvlText w:val="%1、"/>
      <w:lvlJc w:val="left"/>
    </w:lvl>
  </w:abstractNum>
  <w:abstractNum w:abstractNumId="2">
    <w:nsid w:val="559D6222"/>
    <w:multiLevelType w:val="singleLevel"/>
    <w:tmpl w:val="559D622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7CD3F22"/>
    <w:rsid w:val="09113489"/>
    <w:rsid w:val="19EF40C6"/>
    <w:rsid w:val="1BEA0FB0"/>
    <w:rsid w:val="21C72342"/>
    <w:rsid w:val="25145D29"/>
    <w:rsid w:val="2A0C3112"/>
    <w:rsid w:val="37494621"/>
    <w:rsid w:val="39921607"/>
    <w:rsid w:val="40C02A78"/>
    <w:rsid w:val="468762A1"/>
    <w:rsid w:val="4DAB5F7A"/>
    <w:rsid w:val="4F4F5715"/>
    <w:rsid w:val="5375086E"/>
    <w:rsid w:val="60611FE0"/>
    <w:rsid w:val="60C018E5"/>
    <w:rsid w:val="75521E4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3</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2024-03-26T02:18:25Z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