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rPr>
          <w:rFonts w:hint="eastAsia" w:ascii="宋体" w:hAnsi="宋体"/>
          <w:b/>
          <w:sz w:val="36"/>
          <w:szCs w:val="36"/>
        </w:rPr>
      </w:pPr>
      <w:r>
        <w:rPr>
          <w:rFonts w:hint="eastAsia" w:ascii="宋体" w:hAnsi="宋体"/>
          <w:b/>
          <w:sz w:val="36"/>
          <w:szCs w:val="36"/>
        </w:rPr>
        <w:t>财政支出项目绩效自评报告</w:t>
      </w:r>
    </w:p>
    <w:p>
      <w:pPr>
        <w:jc w:val="center"/>
        <w:rPr>
          <w:rFonts w:ascii="宋体" w:hAnsi="宋体"/>
          <w:b/>
          <w:sz w:val="36"/>
          <w:szCs w:val="36"/>
        </w:rPr>
      </w:pPr>
      <w:r>
        <w:rPr>
          <w:rFonts w:hint="eastAsia" w:ascii="宋体" w:hAnsi="宋体"/>
          <w:b/>
          <w:sz w:val="36"/>
          <w:szCs w:val="36"/>
        </w:rPr>
        <w:t>（</w:t>
      </w:r>
      <w:r>
        <w:rPr>
          <w:rFonts w:hint="eastAsia" w:ascii="宋体" w:hAnsi="宋体"/>
          <w:b/>
          <w:sz w:val="36"/>
          <w:szCs w:val="36"/>
          <w:lang w:val="en-US" w:eastAsia="zh-CN"/>
        </w:rPr>
        <w:t>乳源瑶族自治县行政服务中心</w:t>
      </w:r>
      <w:r>
        <w:rPr>
          <w:rFonts w:hint="eastAsia" w:ascii="宋体" w:hAnsi="宋体"/>
          <w:b/>
          <w:sz w:val="36"/>
          <w:szCs w:val="36"/>
        </w:rPr>
        <w:t>）</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560" w:lineRule="exact"/>
        <w:ind w:firstLine="640" w:firstLineChars="200"/>
        <w:rPr>
          <w:rFonts w:hint="default" w:ascii="Times New Roman" w:hAnsi="Times New Roman" w:eastAsia="仿宋_GB2312" w:cs="Times New Roman"/>
          <w:sz w:val="32"/>
          <w:szCs w:val="32"/>
        </w:rPr>
      </w:pPr>
      <w:r>
        <w:rPr>
          <w:rFonts w:hint="eastAsia" w:ascii="仿宋_GB2312" w:eastAsia="仿宋_GB2312"/>
          <w:sz w:val="32"/>
          <w:szCs w:val="32"/>
        </w:rPr>
        <w:t>乳源瑶族自治县行政服务中心是县人民政府直属正科级公益一类事业单位。共</w:t>
      </w:r>
      <w:r>
        <w:rPr>
          <w:rFonts w:hint="default" w:ascii="Times New Roman" w:hAnsi="Times New Roman" w:eastAsia="仿宋_GB2312" w:cs="Times New Roman"/>
          <w:sz w:val="32"/>
          <w:szCs w:val="32"/>
        </w:rPr>
        <w:t>有</w:t>
      </w:r>
      <w:r>
        <w:rPr>
          <w:rFonts w:hint="default" w:ascii="Times New Roman" w:hAnsi="Times New Roman" w:eastAsia="仿宋_GB2312" w:cs="Times New Roman"/>
          <w:sz w:val="32"/>
          <w:szCs w:val="32"/>
          <w:lang w:eastAsia="zh-CN"/>
        </w:rPr>
        <w:t>参公管理</w:t>
      </w:r>
      <w:r>
        <w:rPr>
          <w:rFonts w:hint="default" w:ascii="Times New Roman" w:hAnsi="Times New Roman" w:eastAsia="仿宋_GB2312" w:cs="Times New Roman"/>
          <w:sz w:val="32"/>
          <w:szCs w:val="32"/>
        </w:rPr>
        <w:t>事业编制</w:t>
      </w:r>
      <w:r>
        <w:rPr>
          <w:rFonts w:hint="eastAsia" w:eastAsia="仿宋_GB2312" w:cs="Times New Roman"/>
          <w:sz w:val="32"/>
          <w:szCs w:val="32"/>
          <w:lang w:val="en-US" w:eastAsia="zh-CN"/>
        </w:rPr>
        <w:t>10</w:t>
      </w:r>
      <w:r>
        <w:rPr>
          <w:rFonts w:hint="default" w:ascii="Times New Roman" w:hAnsi="Times New Roman" w:eastAsia="仿宋_GB2312" w:cs="Times New Roman"/>
          <w:sz w:val="32"/>
          <w:szCs w:val="32"/>
        </w:rPr>
        <w:t>名，</w:t>
      </w:r>
      <w:r>
        <w:rPr>
          <w:rFonts w:hint="default" w:ascii="Times New Roman" w:hAnsi="Times New Roman" w:eastAsia="仿宋_GB2312" w:cs="Times New Roman"/>
          <w:sz w:val="32"/>
          <w:szCs w:val="32"/>
          <w:lang w:eastAsia="zh-CN"/>
        </w:rPr>
        <w:t>工勤</w:t>
      </w:r>
      <w:r>
        <w:rPr>
          <w:rFonts w:hint="eastAsia" w:eastAsia="仿宋_GB2312" w:cs="Times New Roman"/>
          <w:sz w:val="32"/>
          <w:szCs w:val="32"/>
          <w:lang w:val="en-US" w:eastAsia="zh-CN"/>
        </w:rPr>
        <w:t>编</w:t>
      </w:r>
      <w:r>
        <w:rPr>
          <w:rFonts w:hint="default" w:ascii="Times New Roman" w:hAnsi="Times New Roman" w:eastAsia="仿宋_GB2312" w:cs="Times New Roman"/>
          <w:sz w:val="32"/>
          <w:szCs w:val="32"/>
        </w:rPr>
        <w:t>1名，</w:t>
      </w:r>
      <w:r>
        <w:rPr>
          <w:rFonts w:hint="eastAsia" w:eastAsia="仿宋_GB2312" w:cs="Times New Roman"/>
          <w:sz w:val="32"/>
          <w:szCs w:val="32"/>
          <w:lang w:val="en-US" w:eastAsia="zh-CN"/>
        </w:rPr>
        <w:t>在职人员9人，</w:t>
      </w:r>
      <w:r>
        <w:rPr>
          <w:rFonts w:hint="default" w:ascii="Times New Roman" w:hAnsi="Times New Roman" w:eastAsia="仿宋_GB2312" w:cs="Times New Roman"/>
          <w:sz w:val="32"/>
          <w:szCs w:val="32"/>
        </w:rPr>
        <w:t>退休人员</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rPr>
        <w:t>人</w:t>
      </w:r>
      <w:r>
        <w:rPr>
          <w:rFonts w:hint="eastAsia" w:eastAsia="仿宋_GB2312" w:cs="Times New Roman"/>
          <w:sz w:val="32"/>
          <w:szCs w:val="32"/>
          <w:lang w:eastAsia="zh-CN"/>
        </w:rPr>
        <w:t>，</w:t>
      </w:r>
      <w:r>
        <w:rPr>
          <w:rFonts w:hint="default" w:ascii="Times New Roman" w:hAnsi="Times New Roman" w:eastAsia="仿宋_GB2312" w:cs="Times New Roman"/>
          <w:sz w:val="32"/>
          <w:szCs w:val="32"/>
          <w:lang w:eastAsia="zh-CN"/>
        </w:rPr>
        <w:t>政府购买服务人员</w:t>
      </w:r>
      <w:r>
        <w:rPr>
          <w:rFonts w:hint="default" w:ascii="Times New Roman" w:hAnsi="Times New Roman" w:eastAsia="仿宋_GB2312" w:cs="Times New Roman"/>
          <w:sz w:val="32"/>
          <w:szCs w:val="32"/>
          <w:lang w:val="en-US" w:eastAsia="zh-CN"/>
        </w:rPr>
        <w:t>12人，</w:t>
      </w:r>
      <w:r>
        <w:rPr>
          <w:rFonts w:hint="eastAsia" w:eastAsia="仿宋_GB2312" w:cs="Times New Roman"/>
          <w:sz w:val="32"/>
          <w:szCs w:val="32"/>
          <w:lang w:val="en-US" w:eastAsia="zh-CN"/>
        </w:rPr>
        <w:t>后勤服务人员5人。</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主要职责：负责县政务服务管理工作委员会日常工作，组织、协调、指导和规范全县行政审批服务工作；负责确定和调整进驻中心办事大厅的窗口单位，并对进驻窗口进行日常监管；备案、公布进驻的行政审批事项和社会服务事项；负责对进驻办事大厅的窗口单位的考评工作；对办事大厅窗口工作人员的考勤、考核和学习培训工作；为窗口和工作人员提供后勤保障；负责县并联审批管理工作日常事务，跟踪服务重点投资项目；负责行政服务中心资产的管理和维护；负责行政服务中心监控机房设备和网络系统使用和管理；负责对行政审批事项网上受理、网上审批情况进行监管，定期统计、分析、通报和业务指导；负责对镇公共服务中心和村（社区）公共服务站进行考核、监督和业务指导；负责受理涉及县政务服务的投诉，并配合县纪检监察部门进行查处；承办县人民政府交办的其它事项。</w:t>
      </w:r>
    </w:p>
    <w:p>
      <w:pPr>
        <w:spacing w:line="560" w:lineRule="exact"/>
        <w:ind w:firstLine="640" w:firstLineChars="200"/>
        <w:rPr>
          <w:rFonts w:hint="eastAsia" w:ascii="Times New Roman" w:hAnsi="Times New Roman" w:eastAsia="仿宋_GB2312" w:cs="Times New Roman"/>
          <w:sz w:val="32"/>
          <w:szCs w:val="32"/>
        </w:rPr>
      </w:pP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互联网接入服务费项目资金主要用于行政服务中心及窗口大厅的网络正常运行及维护，按照财政要求资金专款专用。项目资金用分管领导审核把关，经主要领导审批后报出纳支付，当月会计及时按实际发生情况进行财务处理和会计核算。</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我单位根据专项绩效评定对项</w:t>
      </w:r>
      <w:r>
        <w:rPr>
          <w:rFonts w:hint="default" w:ascii="Times New Roman" w:hAnsi="Times New Roman" w:eastAsia="仿宋_GB2312" w:cs="Times New Roman"/>
          <w:sz w:val="32"/>
          <w:szCs w:val="32"/>
        </w:rPr>
        <w:t>目</w:t>
      </w:r>
      <w:r>
        <w:rPr>
          <w:rFonts w:hint="eastAsia" w:eastAsia="仿宋_GB2312" w:cs="Times New Roman"/>
          <w:sz w:val="32"/>
          <w:szCs w:val="32"/>
          <w:lang w:val="en-US" w:eastAsia="zh-CN"/>
        </w:rPr>
        <w:t>进行量化评价，</w:t>
      </w:r>
      <w:r>
        <w:rPr>
          <w:rFonts w:hint="default" w:ascii="Times New Roman" w:hAnsi="Times New Roman" w:eastAsia="仿宋_GB2312" w:cs="Times New Roman"/>
          <w:sz w:val="32"/>
          <w:szCs w:val="32"/>
        </w:rPr>
        <w:t>自评</w:t>
      </w:r>
      <w:r>
        <w:rPr>
          <w:rFonts w:hint="eastAsia" w:eastAsia="仿宋_GB2312" w:cs="Times New Roman"/>
          <w:sz w:val="32"/>
          <w:szCs w:val="32"/>
          <w:lang w:val="en-US" w:eastAsia="zh-CN"/>
        </w:rPr>
        <w:t>分数</w:t>
      </w:r>
      <w:r>
        <w:rPr>
          <w:rFonts w:hint="default" w:ascii="Times New Roman" w:hAnsi="Times New Roman" w:eastAsia="仿宋_GB2312" w:cs="Times New Roman"/>
          <w:sz w:val="32"/>
          <w:szCs w:val="32"/>
        </w:rPr>
        <w:t>为</w:t>
      </w:r>
      <w:r>
        <w:rPr>
          <w:rFonts w:hint="eastAsia" w:eastAsia="仿宋_GB2312" w:cs="Times New Roman"/>
          <w:sz w:val="32"/>
          <w:szCs w:val="32"/>
          <w:lang w:val="en-US" w:eastAsia="zh-CN"/>
        </w:rPr>
        <w:t>98</w:t>
      </w:r>
      <w:r>
        <w:rPr>
          <w:rFonts w:hint="default" w:ascii="Times New Roman" w:hAnsi="Times New Roman" w:eastAsia="仿宋_GB2312" w:cs="Times New Roman"/>
          <w:sz w:val="32"/>
          <w:szCs w:val="32"/>
        </w:rPr>
        <w:t>分</w:t>
      </w:r>
      <w:r>
        <w:rPr>
          <w:rFonts w:hint="eastAsia" w:eastAsia="仿宋_GB2312" w:cs="Times New Roman"/>
          <w:sz w:val="32"/>
          <w:szCs w:val="32"/>
          <w:lang w:eastAsia="zh-CN"/>
        </w:rPr>
        <w:t>，</w:t>
      </w:r>
      <w:r>
        <w:rPr>
          <w:rFonts w:hint="eastAsia" w:eastAsia="仿宋_GB2312" w:cs="Times New Roman"/>
          <w:sz w:val="32"/>
          <w:szCs w:val="32"/>
          <w:lang w:val="en-US" w:eastAsia="zh-CN"/>
        </w:rPr>
        <w:t>等级为优</w:t>
      </w:r>
      <w:r>
        <w:rPr>
          <w:rFonts w:hint="default" w:ascii="Times New Roman" w:hAnsi="Times New Roman" w:eastAsia="仿宋_GB2312" w:cs="Times New Roman"/>
          <w:sz w:val="32"/>
          <w:szCs w:val="32"/>
        </w:rPr>
        <w:t>。</w:t>
      </w:r>
    </w:p>
    <w:p>
      <w:pPr>
        <w:numPr>
          <w:ilvl w:val="0"/>
          <w:numId w:val="2"/>
        </w:numPr>
        <w:spacing w:line="360" w:lineRule="auto"/>
        <w:ind w:firstLine="640" w:firstLineChars="200"/>
        <w:rPr>
          <w:rFonts w:hint="eastAsia" w:eastAsia="仿宋_GB2312" w:cs="Times New Roman"/>
          <w:sz w:val="32"/>
          <w:szCs w:val="32"/>
          <w:lang w:val="en-US" w:eastAsia="zh-CN"/>
        </w:rPr>
      </w:pPr>
      <w:r>
        <w:rPr>
          <w:rFonts w:hint="eastAsia" w:eastAsia="仿宋_GB2312" w:cs="Times New Roman"/>
          <w:sz w:val="32"/>
          <w:szCs w:val="32"/>
          <w:lang w:val="en-US" w:eastAsia="zh-CN"/>
        </w:rPr>
        <w:t>项目立项（12分）：项目的申请、设立过程符合相关要求，设立的绩效目标合理，绩效指标细化、明确、清晰、可衡量。</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资金落实（8分）：资金落实到位情况良好。</w:t>
      </w:r>
    </w:p>
    <w:p>
      <w:pPr>
        <w:numPr>
          <w:ilvl w:val="0"/>
          <w:numId w:val="0"/>
        </w:numPr>
        <w:spacing w:line="360" w:lineRule="auto"/>
        <w:ind w:left="638" w:leftChars="304" w:firstLine="0" w:firstLineChars="0"/>
        <w:rPr>
          <w:rFonts w:hint="default" w:eastAsia="仿宋_GB2312" w:cs="Times New Roman"/>
          <w:sz w:val="32"/>
          <w:szCs w:val="32"/>
          <w:lang w:val="en-US" w:eastAsia="zh-CN"/>
        </w:rPr>
      </w:pPr>
      <w:r>
        <w:rPr>
          <w:rFonts w:hint="eastAsia" w:eastAsia="仿宋_GB2312" w:cs="Times New Roman"/>
          <w:sz w:val="32"/>
          <w:szCs w:val="32"/>
          <w:lang w:val="en-US" w:eastAsia="zh-CN"/>
        </w:rPr>
        <w:t>3、资金管理（12分）：资金支出规范，</w:t>
      </w:r>
      <w:r>
        <w:rPr>
          <w:rFonts w:hint="eastAsia" w:ascii="仿宋_GB2312" w:hAnsi="仿宋_GB2312" w:eastAsia="仿宋_GB2312"/>
          <w:sz w:val="32"/>
          <w:szCs w:val="32"/>
          <w:lang w:val="en-US" w:eastAsia="zh-CN"/>
        </w:rPr>
        <w:t>支付标准、范围、依据合法合规。</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事项管理（8分）：制度执行有效，项目监管有效。</w:t>
      </w:r>
    </w:p>
    <w:p>
      <w:pPr>
        <w:numPr>
          <w:ilvl w:val="0"/>
          <w:numId w:val="2"/>
        </w:numPr>
        <w:spacing w:line="360" w:lineRule="auto"/>
        <w:ind w:firstLine="640" w:firstLineChars="200"/>
        <w:rPr>
          <w:rFonts w:hint="default" w:eastAsia="仿宋_GB2312" w:cs="Times New Roman"/>
          <w:sz w:val="32"/>
          <w:szCs w:val="32"/>
          <w:lang w:val="en-US" w:eastAsia="zh-CN"/>
        </w:rPr>
      </w:pPr>
      <w:r>
        <w:rPr>
          <w:rFonts w:hint="eastAsia" w:eastAsia="仿宋_GB2312" w:cs="Times New Roman"/>
          <w:sz w:val="32"/>
          <w:szCs w:val="32"/>
          <w:lang w:val="en-US" w:eastAsia="zh-CN"/>
        </w:rPr>
        <w:t>项目产出（30分）：项目完成率100%，完成及时率100%，质量达标率100%，成本节约率100%。</w:t>
      </w:r>
    </w:p>
    <w:p>
      <w:pPr>
        <w:numPr>
          <w:ilvl w:val="0"/>
          <w:numId w:val="2"/>
        </w:numPr>
        <w:spacing w:line="360" w:lineRule="auto"/>
        <w:ind w:firstLine="640" w:firstLineChars="200"/>
        <w:rPr>
          <w:rFonts w:hint="eastAsia" w:ascii="黑体" w:eastAsia="黑体"/>
          <w:sz w:val="32"/>
          <w:szCs w:val="32"/>
        </w:rPr>
      </w:pPr>
      <w:r>
        <w:rPr>
          <w:rFonts w:hint="eastAsia" w:eastAsia="仿宋_GB2312" w:cs="Times New Roman"/>
          <w:sz w:val="32"/>
          <w:szCs w:val="32"/>
          <w:lang w:val="en-US" w:eastAsia="zh-CN"/>
        </w:rPr>
        <w:t>项目效益（26</w:t>
      </w:r>
      <w:bookmarkStart w:id="0" w:name="_GoBack"/>
      <w:bookmarkEnd w:id="0"/>
      <w:r>
        <w:rPr>
          <w:rFonts w:hint="eastAsia" w:eastAsia="仿宋_GB2312" w:cs="Times New Roman"/>
          <w:sz w:val="32"/>
          <w:szCs w:val="32"/>
          <w:lang w:val="en-US" w:eastAsia="zh-CN"/>
        </w:rPr>
        <w:t>分）：项目实施对经济效益、社会效益好，为中心提供了高效的互联网服务，对提升整体办公环境，优化营商环境，提升便民利民服务能力，促进经济可持续发展发挥了不小的作用。</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项目资金实际总投入268080元，资金来源为年初预算。</w:t>
      </w:r>
    </w:p>
    <w:p>
      <w:pPr>
        <w:numPr>
          <w:ilvl w:val="0"/>
          <w:numId w:val="3"/>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该项目2023年</w:t>
      </w:r>
      <w:r>
        <w:rPr>
          <w:rFonts w:hint="eastAsia" w:ascii="仿宋_GB2312" w:hAnsi="仿宋_GB2312" w:eastAsia="仿宋_GB2312"/>
          <w:sz w:val="32"/>
          <w:szCs w:val="32"/>
        </w:rPr>
        <w:t>实际</w:t>
      </w:r>
      <w:r>
        <w:rPr>
          <w:rFonts w:hint="eastAsia" w:ascii="仿宋_GB2312" w:hAnsi="仿宋_GB2312" w:eastAsia="仿宋_GB2312"/>
          <w:sz w:val="32"/>
          <w:szCs w:val="32"/>
          <w:lang w:val="en-US" w:eastAsia="zh-CN"/>
        </w:rPr>
        <w:t>总</w:t>
      </w:r>
      <w:r>
        <w:rPr>
          <w:rFonts w:hint="eastAsia" w:ascii="仿宋_GB2312" w:hAnsi="仿宋_GB2312" w:eastAsia="仿宋_GB2312"/>
          <w:sz w:val="32"/>
          <w:szCs w:val="32"/>
        </w:rPr>
        <w:t>支出</w:t>
      </w:r>
      <w:r>
        <w:rPr>
          <w:rFonts w:hint="eastAsia" w:ascii="仿宋_GB2312" w:hAnsi="仿宋_GB2312" w:eastAsia="仿宋_GB2312"/>
          <w:sz w:val="32"/>
          <w:szCs w:val="32"/>
          <w:lang w:val="en-US" w:eastAsia="zh-CN"/>
        </w:rPr>
        <w:t>为268080元，具体如下：</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（1）3月支出23760元，用于支付1条互联网网线费用；</w:t>
      </w:r>
    </w:p>
    <w:p>
      <w:pPr>
        <w:numPr>
          <w:ilvl w:val="0"/>
          <w:numId w:val="0"/>
        </w:numPr>
        <w:spacing w:line="360" w:lineRule="auto"/>
        <w:ind w:firstLine="640" w:firstLineChars="20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（2）4月支出61920元，用于支付4条网络线路费用;</w:t>
      </w:r>
    </w:p>
    <w:p>
      <w:pPr>
        <w:numPr>
          <w:ilvl w:val="0"/>
          <w:numId w:val="0"/>
        </w:numPr>
        <w:spacing w:line="360" w:lineRule="auto"/>
        <w:ind w:left="638" w:leftChars="304" w:firstLine="0" w:firstLineChars="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（3）5月支付182400元，支付6条网络线路费用及固话费用。</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numPr>
          <w:ilvl w:val="0"/>
          <w:numId w:val="0"/>
        </w:numPr>
        <w:spacing w:line="360" w:lineRule="auto"/>
        <w:ind w:leftChars="200" w:firstLine="320" w:firstLineChars="1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效益指标包括经济效益和社会效益均已完成年初指标值，完成绩效目标。</w:t>
      </w:r>
    </w:p>
    <w:p>
      <w:pPr>
        <w:numPr>
          <w:ilvl w:val="0"/>
          <w:numId w:val="3"/>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numPr>
          <w:ilvl w:val="0"/>
          <w:numId w:val="0"/>
        </w:numPr>
        <w:spacing w:line="360" w:lineRule="auto"/>
        <w:ind w:leftChars="200" w:firstLine="320" w:firstLineChars="1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2023年互联网接入服务费保障整个中心网络系统正常使用，定时维护网络，发生故障及时处理，提高了办公效率。</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417B"/>
    <w:multiLevelType w:val="singleLevel"/>
    <w:tmpl w:val="FFFF417B"/>
    <w:lvl w:ilvl="0" w:tentative="0">
      <w:start w:val="2"/>
      <w:numFmt w:val="chineseCounting"/>
      <w:suff w:val="nothing"/>
      <w:lvlText w:val="（%1）"/>
      <w:lvlJc w:val="left"/>
      <w:rPr>
        <w:rFonts w:hint="eastAsia"/>
      </w:rPr>
    </w:lvl>
  </w:abstractNum>
  <w:abstractNum w:abstractNumId="1">
    <w:nsid w:val="1F0CA15C"/>
    <w:multiLevelType w:val="singleLevel"/>
    <w:tmpl w:val="1F0CA15C"/>
    <w:lvl w:ilvl="0" w:tentative="0">
      <w:start w:val="2"/>
      <w:numFmt w:val="decimal"/>
      <w:suff w:val="nothing"/>
      <w:lvlText w:val="%1、"/>
      <w:lvlJc w:val="left"/>
    </w:lvl>
  </w:abstractNum>
  <w:abstractNum w:abstractNumId="2">
    <w:nsid w:val="559D6222"/>
    <w:multiLevelType w:val="singleLevel"/>
    <w:tmpl w:val="559D6222"/>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Q0ZmMyMjllOGNjZGUyZDZmZTk1Yjk3YTM1NjNjYz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7CD3F22"/>
    <w:rsid w:val="07D5379B"/>
    <w:rsid w:val="0C646251"/>
    <w:rsid w:val="19EF40C6"/>
    <w:rsid w:val="1BEA0FB0"/>
    <w:rsid w:val="1CC01AEE"/>
    <w:rsid w:val="25145D29"/>
    <w:rsid w:val="2A0C3112"/>
    <w:rsid w:val="37494621"/>
    <w:rsid w:val="39921607"/>
    <w:rsid w:val="401D7F0A"/>
    <w:rsid w:val="40C02A78"/>
    <w:rsid w:val="468762A1"/>
    <w:rsid w:val="4F4F5715"/>
    <w:rsid w:val="5375086E"/>
    <w:rsid w:val="65305CB2"/>
    <w:rsid w:val="656B0071"/>
    <w:rsid w:val="69A8304E"/>
    <w:rsid w:val="73390CAB"/>
    <w:rsid w:val="75521E4E"/>
    <w:rsid w:val="7AF406B1"/>
    <w:rsid w:val="7E452942"/>
    <w:rsid w:val="A7FFD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26</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2016-12-01T15:04:00Z</dcterms:created>
  <dc:creator>lenovo</dc:creator>
  <cp:lastModifiedBy>Administrator</cp:lastModifiedBy>
  <cp:lastPrinted>2018-10-25T10:57:00Z</cp:lastPrinted>
  <dcterms:modified xsi:type="dcterms:W3CDTF">2024-03-25T02:12:33Z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