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财政支出项目绩效自评报告（乳源瑶族自治县教育局/乳源瑶族自治县中等职业技术学校）</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乳源中等职业技术学校前身是附城中学，成立于1976年,是我县唯一公办职业技术学校，为广东省重点中等职业学校。学校占地面积约93亩，建筑面积5.4万平方米，拥有50多间实训室，有较为完善的体育运动设施和生活设施。学校现有教职工108人，教师结构合理，专兼结合，学科配套，其中专任教师100人，研究生11人，高级职称28人，高级技师9人，双师型教师48人，学历教育在校学生1838人。学校立足韶关市“355N”产业发展格局，瞄准产业链，结合我县产业实际和学校现有专业基础，重点建设机械、计算机和幼教旅游三大专业群，开设有智能设备运行与维护、工业机器人技术应用、机电技术应用、汽车运用与维修、计算机应用、电子商务、计算机平面设计、旅游服务与管理、幼儿保育、中餐烹饪、休闲体育等11个专业，形成紧密对接产业链、创新链的专业体系。</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本项目是乳源瑶族自治县政府关注民生、关注发展、关 注教育的重大举措。项目的完工有力地促进乳源瑶族自治县加快 薄弱学校的建设步伐，改善办学条件，扩大了乳源瑶族自治县高 中学校总容量，使学校布局更趋合理，为不断提高教育教学水平，提高当地人口素质，推动经济社会和谐发展奠定了基础。</w:t>
      </w:r>
    </w:p>
    <w:p>
      <w:pPr>
        <w:numPr>
          <w:ilvl w:val="0"/>
          <w:numId w:val="0"/>
        </w:numPr>
        <w:spacing w:line="360" w:lineRule="auto"/>
        <w:rPr>
          <w:rFonts w:hint="eastAsia" w:ascii="仿宋_GB2312" w:eastAsia="仿宋_GB2312"/>
          <w:sz w:val="32"/>
          <w:szCs w:val="32"/>
        </w:rPr>
      </w:pPr>
      <w:r>
        <w:rPr>
          <w:rFonts w:hint="eastAsia" w:ascii="仿宋_GB2312" w:eastAsia="仿宋_GB2312"/>
          <w:sz w:val="32"/>
          <w:szCs w:val="32"/>
        </w:rPr>
        <w:t>项目实施主要内容是：新建教学楼一栋、学生宿舍楼 一栋以及新建学生食堂一栋(含厨房、就餐区、四五六楼为中餐、家政等实训室),建设相应的室外配套设施，新建建筑面积14,319.41平方米。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2022年3月乳源瑶族自治县教育局党组研究讨论，同意启动“乳源瑶族自治县职业教育扩容提质建设项目”。2022年4月15日乳源瑶族自治县城市发展与建设管理委员会(乳城管委纪(〔2022)2号)《县城市发展与建设管理委员会2022年第2次会议纪要》,会议原则同意组织实施乳源瑶族自治县中等职业技术学校“扩容提质”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按上级要求对的各项收入和支出实行专账核算、专项管理，专款专用。对项目资金的使用主要依据项目单位的申请报告及领导批示，然后直接下拨到具体使用单位的账户。项目设备购置经过集体决策，执行政府采购的相关规定，履行政府采购相关程序。具体项目资金的拨付使用凭据相关申请文件、领导批示，有经办流程及各单位自身的财务管理制度、办法具体实施进行。支付程序是由各资金单位申请支付，县财政局审核，并经相关领导同意支付。程序规范、公开透明。</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1.绩效目标指标分析。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该指标主要从目标设置、量化指标两个方面考核项目的资金投入情况。指标分值20 分，得20分。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乳源瑶族自治县发展和改革局2022年7月20日出具的《关 于要求出具乳源瑶族自治县中等职业技术学校“扩容提质”项目 初步设计概算的批复》(乳发改投审〔2022〕137号):项目建 设内容：新建教学楼一栋、学生宿舍楼一栋以及新建学生食堂一 栋(含厨房、就餐区、四五六楼为中餐、家政等实训室),建设相应的室外配套设施，新建建筑面积14319.41平方米。现已完成建设目标。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2.绩效管理指标分析。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该指标主要从资金管理、事项管理两个方面考核项目实施的过程情况。指标分值30分，得分30分。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(1)资金管理方面：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整个项目建设至评价基准日止共收到预算安排额度(债券资金)</w:t>
      </w:r>
      <w:r>
        <w:rPr>
          <w:rFonts w:hint="eastAsia" w:ascii="仿宋_GB2312" w:eastAsia="仿宋_GB2312"/>
          <w:sz w:val="32"/>
          <w:szCs w:val="32"/>
          <w:lang w:val="en-US" w:eastAsia="zh-CN"/>
        </w:rPr>
        <w:t>3500</w:t>
      </w:r>
      <w:r>
        <w:rPr>
          <w:rFonts w:hint="eastAsia" w:ascii="仿宋_GB2312" w:eastAsia="仿宋_GB2312"/>
          <w:sz w:val="32"/>
          <w:szCs w:val="32"/>
        </w:rPr>
        <w:t>万元；项目共拨付资金</w:t>
      </w:r>
      <w:r>
        <w:rPr>
          <w:rFonts w:hint="eastAsia" w:ascii="仿宋_GB2312" w:eastAsia="仿宋_GB2312"/>
          <w:sz w:val="32"/>
          <w:szCs w:val="32"/>
          <w:lang w:val="en-US" w:eastAsia="zh-CN"/>
        </w:rPr>
        <w:t>3500</w:t>
      </w:r>
      <w:r>
        <w:rPr>
          <w:rFonts w:hint="eastAsia" w:ascii="仿宋_GB2312" w:eastAsia="仿宋_GB2312"/>
          <w:sz w:val="32"/>
          <w:szCs w:val="32"/>
        </w:rPr>
        <w:t>万元，支付率</w:t>
      </w:r>
      <w:r>
        <w:rPr>
          <w:rFonts w:hint="eastAsia" w:ascii="仿宋_GB2312" w:eastAsia="仿宋_GB2312"/>
          <w:sz w:val="32"/>
          <w:szCs w:val="32"/>
          <w:lang w:val="en-US" w:eastAsia="zh-CN"/>
        </w:rPr>
        <w:t>91.82</w:t>
      </w:r>
      <w:r>
        <w:rPr>
          <w:rFonts w:hint="eastAsia" w:ascii="仿宋_GB2312" w:eastAsia="仿宋_GB2312"/>
          <w:sz w:val="32"/>
          <w:szCs w:val="32"/>
        </w:rPr>
        <w:t>%;项目结余2861984.43</w:t>
      </w:r>
      <w:r>
        <w:rPr>
          <w:rFonts w:hint="eastAsia" w:ascii="仿宋_GB2312" w:eastAsia="仿宋_GB2312"/>
          <w:sz w:val="32"/>
          <w:szCs w:val="32"/>
          <w:lang w:val="en-US" w:eastAsia="zh-CN"/>
        </w:rPr>
        <w:t>元</w:t>
      </w:r>
      <w:r>
        <w:rPr>
          <w:rFonts w:hint="eastAsia" w:asci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(2)事项管理方面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管理基本规范。按上级要求对的各项收入和支出实行专账核算、专项管理，专款专用。对项目资金的使用主要依据项目单位的申请报告及领导批示，然后直接下拨到具体使用单位的账户。项目设备购置经过集体决策，执行政府采购的相关规定，履行政府采购相关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具体项目资金的拨付使用凭据相关申请文件、领导批示，有经办流程及各单位自身的财务管理制度、办法具体实施进行；支付程序：由各资金单位申请支付，县财政局审核，并经相关领导同意支付。程序规范、公开透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3.绩效结果指标分析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该指标主要从经济性、效率性、效果性、公平性四个方面考 核项目的绩效结果情况。指标分值50分，得</w:t>
      </w:r>
      <w:r>
        <w:rPr>
          <w:rFonts w:hint="eastAsia" w:ascii="仿宋_GB2312" w:eastAsia="仿宋_GB2312"/>
          <w:sz w:val="32"/>
          <w:szCs w:val="32"/>
          <w:lang w:val="en-US" w:eastAsia="zh-CN"/>
        </w:rPr>
        <w:t>45</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按照专款专用的原则，通过财政下拨至专用账户(对公账 户),不截留、不拖欠。实际使用项目支出资金32138015.57万元，</w:t>
      </w:r>
      <w:r>
        <w:rPr>
          <w:rFonts w:hint="eastAsia" w:ascii="仿宋_GB2312" w:eastAsia="仿宋_GB2312"/>
          <w:sz w:val="32"/>
          <w:szCs w:val="32"/>
          <w:lang w:val="en-US" w:eastAsia="zh-CN"/>
        </w:rPr>
        <w:t>结余2861984.43元，</w:t>
      </w:r>
      <w:r>
        <w:rPr>
          <w:rFonts w:hint="eastAsia" w:ascii="仿宋_GB2312" w:eastAsia="仿宋_GB2312"/>
          <w:sz w:val="32"/>
          <w:szCs w:val="32"/>
        </w:rPr>
        <w:t>未超出当年预算资金</w:t>
      </w:r>
      <w:r>
        <w:rPr>
          <w:rFonts w:hint="eastAsia" w:ascii="仿宋_GB2312" w:eastAsia="仿宋_GB2312"/>
          <w:sz w:val="32"/>
          <w:szCs w:val="32"/>
          <w:lang w:val="en-US" w:eastAsia="zh-CN"/>
        </w:rPr>
        <w:t>3500.00</w:t>
      </w:r>
      <w:r>
        <w:rPr>
          <w:rFonts w:hint="eastAsia" w:ascii="仿宋_GB2312" w:eastAsia="仿宋_GB2312"/>
          <w:sz w:val="32"/>
          <w:szCs w:val="32"/>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资金效率明显，财政部门预算资金下拨率</w:t>
      </w:r>
      <w:r>
        <w:rPr>
          <w:rFonts w:hint="eastAsia" w:ascii="仿宋_GB2312" w:eastAsia="仿宋_GB2312"/>
          <w:sz w:val="32"/>
          <w:szCs w:val="32"/>
          <w:lang w:val="en-US" w:eastAsia="zh-CN"/>
        </w:rPr>
        <w:t>100</w:t>
      </w:r>
      <w:r>
        <w:rPr>
          <w:rFonts w:hint="eastAsia" w:ascii="仿宋_GB2312" w:eastAsia="仿宋_GB2312"/>
          <w:sz w:val="32"/>
          <w:szCs w:val="32"/>
        </w:rPr>
        <w:t>%,执行率 100%。项目使用支付32138015.57万元，支付率</w:t>
      </w:r>
      <w:r>
        <w:rPr>
          <w:rFonts w:hint="eastAsia" w:ascii="仿宋_GB2312" w:eastAsia="仿宋_GB2312"/>
          <w:sz w:val="32"/>
          <w:szCs w:val="32"/>
          <w:lang w:val="en-US" w:eastAsia="zh-CN"/>
        </w:rPr>
        <w:t>91.82</w:t>
      </w:r>
      <w:r>
        <w:rPr>
          <w:rFonts w:hint="eastAsia" w:ascii="仿宋_GB2312" w:eastAsia="仿宋_GB2312"/>
          <w:sz w:val="32"/>
          <w:szCs w:val="32"/>
        </w:rPr>
        <w:t>%;项目结余2861984.43元</w:t>
      </w:r>
      <w:r>
        <w:rPr>
          <w:rFonts w:hint="eastAsia" w:ascii="仿宋_GB2312" w:eastAsia="仿宋_GB2312"/>
          <w:sz w:val="32"/>
          <w:szCs w:val="32"/>
          <w:lang w:eastAsia="zh-CN"/>
        </w:rPr>
        <w:t>，</w:t>
      </w:r>
      <w:r>
        <w:rPr>
          <w:rFonts w:hint="eastAsia" w:ascii="仿宋_GB2312" w:eastAsia="仿宋_GB2312"/>
          <w:sz w:val="32"/>
          <w:szCs w:val="32"/>
          <w:lang w:val="en-US" w:eastAsia="zh-CN"/>
        </w:rPr>
        <w:t>未超出当年预算金额</w:t>
      </w:r>
      <w:r>
        <w:rPr>
          <w:rFonts w:hint="eastAsia" w:ascii="仿宋_GB2312" w:eastAsia="仿宋_GB2312"/>
          <w:sz w:val="32"/>
          <w:szCs w:val="32"/>
        </w:rPr>
        <w:t>。 表明各使用管理单位对项目实施过程中的监督、管理相对到位，有一定的制度规范和措施。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本项目在维护社会公正稳定、社会公平及其惠民生等方面的 效益突出，满意度方面，作为重点项目而言，本项目的顺利完工，得到了各级部门的充分肯定。</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w:t>
      </w:r>
      <w:r>
        <w:rPr>
          <w:rFonts w:hint="eastAsia" w:ascii="仿宋_GB2312" w:hAnsi="仿宋_GB2312" w:eastAsia="仿宋_GB2312"/>
          <w:sz w:val="32"/>
          <w:szCs w:val="32"/>
          <w:lang w:eastAsia="zh-CN"/>
        </w:rPr>
        <w:t>概算</w:t>
      </w:r>
      <w:r>
        <w:rPr>
          <w:rFonts w:hint="eastAsia" w:ascii="仿宋_GB2312" w:hAnsi="仿宋_GB2312" w:eastAsia="仿宋_GB2312"/>
          <w:sz w:val="32"/>
          <w:szCs w:val="32"/>
        </w:rPr>
        <w:t>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项目概算总投资：8,015.55万元，其中工程费用5152.05 万元，占总投资的比例为64.27%;工程建设其他费用587.41万 元，占总投资的比例为7.33%;预备费用287.67万元，占总投资的比例为3.59%;征地拆迁费810.32万元，占总投资的比例为10.11%;设备购置费1178.10万元。占总投资的比例为14.70%。</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整个项目建设至评价基准日止共收到预算安排额度(债券资金)</w:t>
      </w:r>
      <w:r>
        <w:rPr>
          <w:rFonts w:hint="eastAsia" w:ascii="仿宋_GB2312" w:hAnsi="仿宋_GB2312" w:eastAsia="仿宋_GB2312"/>
          <w:sz w:val="32"/>
          <w:szCs w:val="32"/>
          <w:lang w:val="en-US" w:eastAsia="zh-CN"/>
        </w:rPr>
        <w:t>3500</w:t>
      </w:r>
      <w:r>
        <w:rPr>
          <w:rFonts w:hint="eastAsia" w:ascii="仿宋_GB2312" w:hAnsi="仿宋_GB2312" w:eastAsia="仿宋_GB2312"/>
          <w:sz w:val="32"/>
          <w:szCs w:val="32"/>
        </w:rPr>
        <w:t>万元；项目共拨付资金</w:t>
      </w:r>
      <w:r>
        <w:rPr>
          <w:rFonts w:hint="eastAsia" w:ascii="仿宋_GB2312" w:hAnsi="仿宋_GB2312" w:eastAsia="仿宋_GB2312"/>
          <w:sz w:val="32"/>
          <w:szCs w:val="32"/>
          <w:lang w:val="en-US" w:eastAsia="zh-CN"/>
        </w:rPr>
        <w:t>3500</w:t>
      </w:r>
      <w:r>
        <w:rPr>
          <w:rFonts w:hint="eastAsia" w:ascii="仿宋_GB2312" w:hAnsi="仿宋_GB2312" w:eastAsia="仿宋_GB2312"/>
          <w:sz w:val="32"/>
          <w:szCs w:val="32"/>
        </w:rPr>
        <w:t>万元，支付率</w:t>
      </w:r>
      <w:r>
        <w:rPr>
          <w:rFonts w:hint="eastAsia" w:ascii="仿宋_GB2312" w:hAnsi="仿宋_GB2312" w:eastAsia="仿宋_GB2312"/>
          <w:sz w:val="32"/>
          <w:szCs w:val="32"/>
          <w:lang w:val="en-US" w:eastAsia="zh-CN"/>
        </w:rPr>
        <w:t>91.82</w:t>
      </w:r>
      <w:r>
        <w:rPr>
          <w:rFonts w:hint="eastAsia" w:ascii="仿宋_GB2312" w:hAnsi="仿宋_GB2312" w:eastAsia="仿宋_GB2312"/>
          <w:sz w:val="32"/>
          <w:szCs w:val="32"/>
        </w:rPr>
        <w:t>%;项目结余2861984.43元。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资金支出明细如下表：</w:t>
      </w:r>
    </w:p>
    <w:tbl>
      <w:tblPr>
        <w:tblStyle w:val="5"/>
        <w:tblpPr w:leftFromText="180" w:rightFromText="180" w:vertAnchor="text" w:horzAnchor="page" w:tblpX="1261" w:tblpY="59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4755"/>
        <w:gridCol w:w="1545"/>
        <w:gridCol w:w="2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top"/>
          </w:tcPr>
          <w:p>
            <w:pPr>
              <w:pStyle w:val="9"/>
              <w:spacing w:before="221" w:line="221" w:lineRule="auto"/>
              <w:ind w:left="107" w:leftChars="0"/>
              <w:jc w:val="center"/>
              <w:rPr>
                <w:rFonts w:hint="eastAsia" w:ascii="宋体" w:hAnsi="宋体" w:eastAsia="宋体" w:cs="宋体"/>
                <w:snapToGrid w:val="0"/>
                <w:color w:val="000000"/>
                <w:kern w:val="0"/>
                <w:sz w:val="21"/>
                <w:szCs w:val="21"/>
                <w:lang w:val="en-US" w:eastAsia="en-US" w:bidi="ar-SA"/>
              </w:rPr>
            </w:pPr>
            <w:r>
              <w:rPr>
                <w:b/>
                <w:bCs/>
                <w:spacing w:val="-4"/>
                <w:sz w:val="21"/>
                <w:szCs w:val="21"/>
              </w:rPr>
              <w:t>序号</w:t>
            </w:r>
          </w:p>
        </w:tc>
        <w:tc>
          <w:tcPr>
            <w:tcW w:w="4755" w:type="dxa"/>
            <w:vAlign w:val="top"/>
          </w:tcPr>
          <w:p>
            <w:pPr>
              <w:pStyle w:val="9"/>
              <w:spacing w:before="220" w:line="220" w:lineRule="auto"/>
              <w:ind w:left="113" w:leftChars="0"/>
              <w:jc w:val="center"/>
              <w:rPr>
                <w:rFonts w:hint="eastAsia" w:ascii="宋体" w:hAnsi="宋体" w:eastAsia="宋体" w:cs="宋体"/>
                <w:snapToGrid w:val="0"/>
                <w:color w:val="000000"/>
                <w:kern w:val="0"/>
                <w:sz w:val="21"/>
                <w:szCs w:val="21"/>
                <w:lang w:val="en-US" w:eastAsia="en-US" w:bidi="ar-SA"/>
              </w:rPr>
            </w:pPr>
            <w:r>
              <w:rPr>
                <w:b/>
                <w:bCs/>
                <w:spacing w:val="-4"/>
                <w:sz w:val="21"/>
                <w:szCs w:val="21"/>
              </w:rPr>
              <w:t>项目名称</w:t>
            </w:r>
          </w:p>
        </w:tc>
        <w:tc>
          <w:tcPr>
            <w:tcW w:w="1545" w:type="dxa"/>
            <w:vAlign w:val="top"/>
          </w:tcPr>
          <w:p>
            <w:pPr>
              <w:pStyle w:val="9"/>
              <w:spacing w:before="49" w:line="266" w:lineRule="auto"/>
              <w:ind w:left="139" w:leftChars="0" w:right="166" w:rightChars="0" w:firstLine="10" w:firstLineChars="0"/>
              <w:jc w:val="center"/>
              <w:rPr>
                <w:rFonts w:hint="eastAsia" w:ascii="宋体" w:hAnsi="宋体" w:eastAsia="宋体" w:cs="宋体"/>
                <w:snapToGrid w:val="0"/>
                <w:color w:val="000000"/>
                <w:kern w:val="0"/>
                <w:sz w:val="21"/>
                <w:szCs w:val="21"/>
                <w:lang w:val="en-US" w:eastAsia="en-US" w:bidi="ar-SA"/>
              </w:rPr>
            </w:pPr>
            <w:r>
              <w:rPr>
                <w:b/>
                <w:bCs/>
                <w:spacing w:val="-2"/>
                <w:sz w:val="21"/>
                <w:szCs w:val="21"/>
              </w:rPr>
              <w:t>申拔(付款)金额</w:t>
            </w:r>
            <w:r>
              <w:rPr>
                <w:sz w:val="21"/>
                <w:szCs w:val="21"/>
              </w:rPr>
              <w:t xml:space="preserve"> </w:t>
            </w:r>
            <w:r>
              <w:rPr>
                <w:b/>
                <w:bCs/>
                <w:spacing w:val="10"/>
                <w:sz w:val="21"/>
                <w:szCs w:val="21"/>
              </w:rPr>
              <w:t>(元)</w:t>
            </w:r>
          </w:p>
        </w:tc>
        <w:tc>
          <w:tcPr>
            <w:tcW w:w="2107" w:type="dxa"/>
            <w:vAlign w:val="top"/>
          </w:tcPr>
          <w:p>
            <w:pPr>
              <w:pStyle w:val="9"/>
              <w:spacing w:before="19" w:line="271" w:lineRule="auto"/>
              <w:ind w:left="110" w:leftChars="0" w:hanging="9" w:firstLineChars="0"/>
              <w:jc w:val="center"/>
              <w:rPr>
                <w:rFonts w:hint="eastAsia" w:ascii="宋体" w:hAnsi="宋体" w:eastAsia="宋体" w:cs="宋体"/>
                <w:snapToGrid w:val="0"/>
                <w:color w:val="000000"/>
                <w:kern w:val="0"/>
                <w:sz w:val="21"/>
                <w:szCs w:val="21"/>
                <w:lang w:val="en-US" w:eastAsia="en-US" w:bidi="ar-SA"/>
              </w:rPr>
            </w:pPr>
            <w:r>
              <w:rPr>
                <w:b/>
                <w:bCs/>
                <w:spacing w:val="16"/>
                <w:sz w:val="21"/>
                <w:szCs w:val="21"/>
              </w:rPr>
              <w:t>申拔(付</w:t>
            </w:r>
            <w:r>
              <w:rPr>
                <w:rFonts w:hint="eastAsia"/>
                <w:b/>
                <w:bCs/>
                <w:spacing w:val="16"/>
                <w:sz w:val="21"/>
                <w:szCs w:val="21"/>
                <w:lang w:eastAsia="zh-CN"/>
              </w:rPr>
              <w:t>）</w:t>
            </w:r>
            <w:r>
              <w:rPr>
                <w:sz w:val="21"/>
                <w:szCs w:val="21"/>
              </w:rPr>
              <w:t xml:space="preserve"> </w:t>
            </w:r>
            <w:r>
              <w:rPr>
                <w:b/>
                <w:bCs/>
                <w:spacing w:val="-3"/>
                <w:sz w:val="21"/>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扩容提质项目工程款</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268660.65</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扩容提质项目工程进度款（工程款1507520.94，工人工资646080.4）</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2150000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2023年5月6日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扩容提质项目工程进度款（工程款1435000，工人工资615000）</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2050000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扩容提质项目建筑工程合同款支付保证金保险</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5000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5</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扩容提质项目监理费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360000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6</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扩容提质项目衣物柜等采购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209840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7</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扩容提质项目餐桌椅等采购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68400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8</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扩容提质项目视频监控等采购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182961.95</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9</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扩容提质项目视频监控等采购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162900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10</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扩容提质项目工程进度款（工程款5782000，工人工资2478000）</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8260000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11</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扩容提质项目新建食堂厨房设备采购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1933385.69</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12</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扩容提质项目粤菜师傅实训室设备采购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1189003.3</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13</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扩容提质项目热水系统及饮水机设备采购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200927.1</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14</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扩容提质项目智慧黑板采购项目</w:t>
            </w:r>
          </w:p>
        </w:tc>
        <w:tc>
          <w:tcPr>
            <w:tcW w:w="1545" w:type="dxa"/>
            <w:vAlign w:val="center"/>
          </w:tcPr>
          <w:p>
            <w:pPr>
              <w:keepNext w:val="0"/>
              <w:keepLines w:val="0"/>
              <w:widowControl/>
              <w:suppressLineNumbers w:val="0"/>
              <w:wordWrap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866250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15</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扩容提质项目窗帘采购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106077</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16</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扩容提质项目发电机组采购及安装</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354108.88</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17</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扩容提质项目风扇采购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69360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18</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扩容提质项目空调采购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507010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19</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扩容提质项目实训室建设项目</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659900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20</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扩容提质项目旧房拆除、清运及平整工程</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109288</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21</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扩容提质项目箱变设备采购及安装</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286927.43</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2023年6月28日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22</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扩容提质项目工程款</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2440000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23</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扩容提质项目安措费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580000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24</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扩容提质项目消防设施检测</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25</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扩容提质项目监理费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160000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26</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扩容提质项目白蚁防治</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28639</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27</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扩容提质项目箱变设备采购及安装费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24536.42</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28</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扩容提质项目办公家具采购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115000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29</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扩容提质项目购买实训室计算机</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677102</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30</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扩容提质项目采购网络交换机</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4200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31</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扩容提质项目采购实训室电脑桌椅</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49280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32</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扩容提质项目采购挂壁式空调机</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426730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33</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扩容提质项目装修、房租、搬迁等补偿（蔡玉镇）</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367421.29</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34</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扩容提质项目工业机器人实训设备采购安装项目</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467000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2023年11月28日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35</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扩容提质项目建筑材料检测费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117990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36</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扩容提质项目教学楼、食堂、宿舍楼测绘费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11573</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37</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扩容提质项目基坑监测费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66000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38</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扩容提质项目建筑材料检测费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93964</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39</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扩容提质项目实训室铺设防滑地板工程</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103450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40</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扩容提质项目人防验收规划</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14012</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41</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扩容提质项目防雷装置检测费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27675</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42</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扩容提质项目室内环境质量检测费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115200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43</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扩容提质项目工程款</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5163094.05</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44</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扩容提质项目供水管道安装工程</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34511.17</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45</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扩容提质项目运动场侧面改造工程</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316697.72</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46</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扩容提质项目设计费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232320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47</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扩容提质项目新建食堂洗碗机、扫地机设备采购</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125040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48</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扩容提质项目全工程造价咨询服务费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106757</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49</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扩容提质项目宿舍和教学楼线路改造项目</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181808.08</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50</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扩容提质项目监理费</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40000</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sz w:val="21"/>
                <w:szCs w:val="21"/>
                <w:vertAlign w:val="baseline"/>
                <w:lang w:val="en-US" w:eastAsia="zh-CN"/>
              </w:rPr>
            </w:pPr>
            <w:r>
              <w:rPr>
                <w:rFonts w:hint="eastAsia" w:ascii="仿宋_GB2312" w:hAnsi="仿宋_GB2312" w:eastAsia="仿宋_GB2312"/>
                <w:sz w:val="21"/>
                <w:szCs w:val="21"/>
                <w:vertAlign w:val="baseline"/>
                <w:lang w:val="en-US" w:eastAsia="zh-CN"/>
              </w:rPr>
              <w:t>51</w:t>
            </w:r>
          </w:p>
        </w:tc>
        <w:tc>
          <w:tcPr>
            <w:tcW w:w="4755"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扩容提质项目实训舞蹈室安装防水防滑防火地板施工项目</w:t>
            </w:r>
          </w:p>
        </w:tc>
        <w:tc>
          <w:tcPr>
            <w:tcW w:w="1545" w:type="dxa"/>
            <w:vAlign w:val="center"/>
          </w:tcPr>
          <w:p>
            <w:pPr>
              <w:keepNext w:val="0"/>
              <w:keepLines w:val="0"/>
              <w:widowControl/>
              <w:suppressLineNumbers w:val="0"/>
              <w:jc w:val="center"/>
              <w:textAlignment w:val="center"/>
              <w:rPr>
                <w:rFonts w:hint="default" w:ascii="仿宋_GB2312" w:hAnsi="仿宋_GB2312" w:eastAsia="仿宋_GB2312"/>
                <w:sz w:val="21"/>
                <w:szCs w:val="21"/>
                <w:vertAlign w:val="baseline"/>
                <w:lang w:val="en-US"/>
              </w:rPr>
            </w:pPr>
            <w:r>
              <w:rPr>
                <w:rFonts w:hint="eastAsia" w:ascii="宋体" w:hAnsi="宋体" w:eastAsia="宋体" w:cs="宋体"/>
                <w:i w:val="0"/>
                <w:iCs w:val="0"/>
                <w:color w:val="000000"/>
                <w:kern w:val="0"/>
                <w:sz w:val="21"/>
                <w:szCs w:val="21"/>
                <w:u w:val="none"/>
                <w:lang w:val="en-US" w:eastAsia="zh-CN" w:bidi="ar"/>
              </w:rPr>
              <w:t>28014.84</w:t>
            </w:r>
            <w:r>
              <w:rPr>
                <w:rFonts w:hint="eastAsia" w:ascii="宋体" w:hAnsi="宋体" w:cs="宋体"/>
                <w:i w:val="0"/>
                <w:iCs w:val="0"/>
                <w:color w:val="000000"/>
                <w:kern w:val="0"/>
                <w:sz w:val="21"/>
                <w:szCs w:val="21"/>
                <w:u w:val="none"/>
                <w:lang w:val="en-US" w:eastAsia="zh-CN" w:bidi="ar"/>
              </w:rPr>
              <w:t>元</w:t>
            </w:r>
          </w:p>
        </w:tc>
        <w:tc>
          <w:tcPr>
            <w:tcW w:w="2107" w:type="dxa"/>
            <w:vAlign w:val="center"/>
          </w:tcPr>
          <w:p>
            <w:pPr>
              <w:keepNext w:val="0"/>
              <w:keepLines w:val="0"/>
              <w:widowControl/>
              <w:suppressLineNumbers w:val="0"/>
              <w:jc w:val="center"/>
              <w:textAlignment w:val="center"/>
              <w:rPr>
                <w:rFonts w:hint="eastAsia" w:ascii="仿宋_GB2312" w:hAnsi="仿宋_GB2312" w:eastAsia="仿宋_GB2312"/>
                <w:sz w:val="21"/>
                <w:szCs w:val="21"/>
                <w:vertAlign w:val="baseline"/>
              </w:rPr>
            </w:pPr>
            <w:r>
              <w:rPr>
                <w:rFonts w:hint="eastAsia" w:ascii="宋体" w:hAnsi="宋体" w:eastAsia="宋体" w:cs="宋体"/>
                <w:i w:val="0"/>
                <w:iCs w:val="0"/>
                <w:color w:val="000000"/>
                <w:kern w:val="0"/>
                <w:sz w:val="21"/>
                <w:szCs w:val="21"/>
                <w:u w:val="none"/>
                <w:lang w:val="en-US" w:eastAsia="zh-CN" w:bidi="ar"/>
              </w:rPr>
              <w:t>2023年12月29日</w:t>
            </w:r>
          </w:p>
        </w:tc>
      </w:tr>
    </w:tbl>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(1)经济性指标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按照专款专用的原则，通过财政下拨至专用账户(对公账 户),不截留、不拖欠。实际使用项目支出资金32138015.57万元，</w:t>
      </w:r>
      <w:r>
        <w:rPr>
          <w:rFonts w:hint="eastAsia" w:ascii="仿宋_GB2312" w:hAnsi="仿宋_GB2312" w:eastAsia="仿宋_GB2312"/>
          <w:sz w:val="32"/>
          <w:szCs w:val="32"/>
          <w:lang w:val="en-US" w:eastAsia="zh-CN"/>
        </w:rPr>
        <w:t>项目结余2861984.43元，</w:t>
      </w:r>
      <w:r>
        <w:rPr>
          <w:rFonts w:hint="eastAsia" w:ascii="仿宋_GB2312" w:hAnsi="仿宋_GB2312" w:eastAsia="仿宋_GB2312"/>
          <w:sz w:val="32"/>
          <w:szCs w:val="32"/>
        </w:rPr>
        <w:t>未超出当年预算资金</w:t>
      </w:r>
      <w:r>
        <w:rPr>
          <w:rFonts w:hint="eastAsia" w:ascii="仿宋_GB2312" w:hAnsi="仿宋_GB2312" w:eastAsia="仿宋_GB2312"/>
          <w:sz w:val="32"/>
          <w:szCs w:val="32"/>
          <w:lang w:val="en-US" w:eastAsia="zh-CN"/>
        </w:rPr>
        <w:t>3500</w:t>
      </w:r>
      <w:r>
        <w:rPr>
          <w:rFonts w:hint="eastAsia" w:ascii="仿宋_GB2312" w:hAnsi="仿宋_GB2312" w:eastAsia="仿宋_GB2312"/>
          <w:sz w:val="32"/>
          <w:szCs w:val="32"/>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该笔资金的使用有效的解决了乳源县中等职业技术学校亟 待解决的学位不足的问题。目前乳源县中等职业技术学校学籍在 编学生1835人，相比上一学年增加约150多名学生(上学年学校采用错峰顶岗实习、临时使用实训室上理论课的办法缓解了当 时学位不足的情况),按照招生计划2025 年可招生达到2100学生。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(2)效率性指标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资金效率明显，财政部门预算资金下拨率100%,执行率 100%。项目使用支付32138015.57万元，支付率91.82%;项目结余2861984.43元，未超出当年预算金额。 表明各使用管理单位对项目实施过程中的监督、管理相对到位，有一定的制度规范和措施。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(3)效果性指标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效果性指标较好地发挥财政专项资金的效益，该项目的建设 完成，校容环境、实训设备、教学设备均达乳源县域较高水平对毕业生技能操作水平、就业率都有一定的提高。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目前住宿学生934人(之前最大床位数752),解决了部分 乡镇学生因学校无住宿床位而放弃就读乳源瑶族自治县中等职 业技术学校的实际情况。就乳源县侯公渡附近的学生来说，在学 校住宿将大大解决了这部分学生因上下学而造成的安全隐患；新 建的食堂楼窗明几净，就餐位充足，良好的的就餐环境，食品卫 生得到保障，学生幸福感满满。新建的粤菜师傅实训室，满足学 校目前开设的中餐专业的实训要求，同时在承接社会培训、比赛 做了硬件上的保障。如2023年10月28日上午乳源县人社局在 学校举办的县粤菜师傅技能大赛在乳源瑶族自治县中等职业技术学校顺利举行，得到了社会各界的广泛关注与认可。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同时，该项目的顺利实施，带动了社会人员参加职业培训的 积极性，在很大程度上促使和推动了乳源职业教育质量提升，项目的效果性较佳，项目的可持续性较强。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(4)公平性指标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本项目在维护社会公正稳定、社会公平及其惠民生等方面的 效益突出，满意度方面，作为重点项目而言，本项目的顺利完工，得到了各级部门的充分肯定。</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完成年度财政预算资金的专项使用用途，支出全部用于项目建设内容。效益指标取得一定的成效：</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1.项目资金的使用有效地解决乳源中等职业技术学校亟待  解决的学位不足的问题。目前中职学籍在编学生1835人，相比  上一学年增加约150多名学生(上学年学校采用错峰顶岗实习、 临时使用实训室上理论课的办法缓解了当时学位不足的情况), 按照学校招生计划2025年可达到2100人。目前住宿学生934 人(之前最大床位数752),解决了部分乡镇学生因学校无住宿床位而放弃就读乳源中职学校的实际情况。如对侯公渡镇附近的 学生来说，在学校住宿将大大解决了这部分学生因上下学而造成的安全隐患。</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2、新建的食堂楼窗明几净，就餐位充足，良好的就餐环境，食品卫生得到保障，学生幸福感满满。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3、新建的粤菜师傅实训室，满足学校目前开设的中餐专业  的实训要求，同时在承接社会培训、比赛做了硬件上的保障。如 2023年10月28日</w:t>
      </w:r>
      <w:r>
        <w:rPr>
          <w:rFonts w:hint="eastAsia" w:ascii="仿宋_GB2312" w:eastAsia="仿宋_GB2312"/>
          <w:sz w:val="32"/>
          <w:szCs w:val="32"/>
          <w:lang w:val="en-US" w:eastAsia="zh-CN"/>
        </w:rPr>
        <w:t>上</w:t>
      </w:r>
      <w:r>
        <w:rPr>
          <w:rFonts w:hint="eastAsia" w:ascii="仿宋_GB2312" w:eastAsia="仿宋_GB2312"/>
          <w:sz w:val="32"/>
          <w:szCs w:val="32"/>
        </w:rPr>
        <w:t>午乳源县人社局在乳源中职学校举办的乳 源县粤菜师傅技能大赛顺利举行，得到了社会各界的广泛关注与认可。</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本项目缺乏全项目归档资料。本项目</w:t>
      </w:r>
      <w:r>
        <w:rPr>
          <w:rFonts w:hint="eastAsia" w:ascii="仿宋_GB2312" w:eastAsia="仿宋_GB2312"/>
          <w:sz w:val="32"/>
          <w:szCs w:val="32"/>
          <w:lang w:eastAsia="zh-CN"/>
        </w:rPr>
        <w:t>为代建项目部分资料仍在代建中心，同时资料</w:t>
      </w:r>
      <w:r>
        <w:rPr>
          <w:rFonts w:hint="eastAsia" w:ascii="仿宋_GB2312" w:eastAsia="仿宋_GB2312"/>
          <w:sz w:val="32"/>
          <w:szCs w:val="32"/>
        </w:rPr>
        <w:t>较多还未</w:t>
      </w:r>
      <w:r>
        <w:rPr>
          <w:rFonts w:hint="eastAsia" w:ascii="仿宋_GB2312" w:eastAsia="仿宋_GB2312"/>
          <w:sz w:val="32"/>
          <w:szCs w:val="32"/>
          <w:lang w:eastAsia="zh-CN"/>
        </w:rPr>
        <w:t>完全归档</w:t>
      </w:r>
      <w:r>
        <w:rPr>
          <w:rFonts w:hint="eastAsia" w:ascii="仿宋_GB2312" w:eastAsia="仿宋_GB2312"/>
          <w:sz w:val="32"/>
          <w:szCs w:val="32"/>
        </w:rPr>
        <w:t>整理，</w:t>
      </w:r>
      <w:bookmarkStart w:id="0" w:name="_GoBack"/>
      <w:bookmarkEnd w:id="0"/>
      <w:r>
        <w:rPr>
          <w:rFonts w:hint="eastAsia" w:ascii="仿宋_GB2312" w:eastAsia="仿宋_GB2312"/>
          <w:sz w:val="32"/>
          <w:szCs w:val="32"/>
        </w:rPr>
        <w:t>所以缺乏对项目整体资料的</w:t>
      </w:r>
      <w:r>
        <w:rPr>
          <w:rFonts w:hint="eastAsia" w:ascii="仿宋_GB2312" w:eastAsia="仿宋_GB2312"/>
          <w:sz w:val="32"/>
          <w:szCs w:val="32"/>
          <w:lang w:eastAsia="zh-CN"/>
        </w:rPr>
        <w:t>整理</w:t>
      </w:r>
      <w:r>
        <w:rPr>
          <w:rFonts w:hint="eastAsia" w:ascii="仿宋_GB2312" w:eastAsia="仿宋_GB2312"/>
          <w:sz w:val="32"/>
          <w:szCs w:val="32"/>
        </w:rPr>
        <w:t>、归档。</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认真做好项目资料归档。按照项目档案归档要求，分门另类，按照“一项目一档案”进行规范化整理，以备将来各种检查。</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A928D"/>
    <w:multiLevelType w:val="singleLevel"/>
    <w:tmpl w:val="A5FA928D"/>
    <w:lvl w:ilvl="0" w:tentative="0">
      <w:start w:val="2"/>
      <w:numFmt w:val="decimal"/>
      <w:suff w:val="nothing"/>
      <w:lvlText w:val="%1、"/>
      <w:lvlJc w:val="left"/>
    </w:lvl>
  </w:abstractNum>
  <w:abstractNum w:abstractNumId="1">
    <w:nsid w:val="34F4D81E"/>
    <w:multiLevelType w:val="singleLevel"/>
    <w:tmpl w:val="34F4D81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UyZTQ1ZmM0MjE5Njc4OWExYjZlZWI2MmViMTA4ODIifQ=="/>
    <w:docVar w:name="KSO_WPS_MARK_KEY" w:val="44cb628d-4273-4dda-85c3-39aee3574050"/>
  </w:docVars>
  <w:rsids>
    <w:rsidRoot w:val="00F22CA7"/>
    <w:rsid w:val="000560B1"/>
    <w:rsid w:val="00182223"/>
    <w:rsid w:val="003B25CA"/>
    <w:rsid w:val="004903E7"/>
    <w:rsid w:val="00534213"/>
    <w:rsid w:val="006F6EA7"/>
    <w:rsid w:val="0087074D"/>
    <w:rsid w:val="00916C35"/>
    <w:rsid w:val="009C14D0"/>
    <w:rsid w:val="00E409B6"/>
    <w:rsid w:val="00EE444F"/>
    <w:rsid w:val="00F22CA7"/>
    <w:rsid w:val="19465F97"/>
    <w:rsid w:val="1BEA0FB0"/>
    <w:rsid w:val="1DE74212"/>
    <w:rsid w:val="28534CF3"/>
    <w:rsid w:val="2A0C3112"/>
    <w:rsid w:val="355F4915"/>
    <w:rsid w:val="39921607"/>
    <w:rsid w:val="468762A1"/>
    <w:rsid w:val="5375086E"/>
    <w:rsid w:val="5C1F6FBC"/>
    <w:rsid w:val="725071F0"/>
    <w:rsid w:val="74B80B19"/>
    <w:rsid w:val="75332E41"/>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 w:type="paragraph" w:customStyle="1" w:styleId="9">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31"/>
      <w:szCs w:val="31"/>
      <w:lang w:eastAsia="en-US"/>
    </w:rPr>
  </w:style>
  <w:style w:type="table" w:customStyle="1" w:styleId="10">
    <w:name w:val="Table Normal"/>
    <w:semiHidden/>
    <w:unhideWhenUsed/>
    <w:qFormat/>
    <w:uiPriority w:val="0"/>
    <w:rPr>
      <w:rFonts w:ascii="Arial" w:hAnsi="Arial" w:cs="Arial"/>
      <w:snapToGrid w:val="0"/>
      <w:color w:val="000000"/>
      <w:sz w:val="21"/>
      <w:szCs w:val="21"/>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4659</Words>
  <Characters>5574</Characters>
  <Lines>1</Lines>
  <Paragraphs>1</Paragraphs>
  <TotalTime>12</TotalTime>
  <ScaleCrop>false</ScaleCrop>
  <LinksUpToDate>false</LinksUpToDate>
  <CharactersWithSpaces>5627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凌风</cp:lastModifiedBy>
  <cp:lastPrinted>2018-10-25T10:57:00Z</cp:lastPrinted>
  <dcterms:modified xsi:type="dcterms:W3CDTF">2024-03-20T12:20:03Z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