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b w:val="0"/>
          <w:bCs/>
          <w:sz w:val="30"/>
          <w:szCs w:val="30"/>
        </w:rPr>
      </w:pPr>
      <w:r>
        <w:rPr>
          <w:rFonts w:hint="eastAsia" w:ascii="宋体" w:hAnsi="宋体"/>
          <w:b w:val="0"/>
          <w:bCs/>
          <w:sz w:val="30"/>
          <w:szCs w:val="30"/>
        </w:rPr>
        <w:t>（</w:t>
      </w:r>
      <w:r>
        <w:rPr>
          <w:rFonts w:hint="eastAsia" w:ascii="宋体" w:hAnsi="宋体"/>
          <w:b w:val="0"/>
          <w:bCs/>
          <w:sz w:val="30"/>
          <w:szCs w:val="30"/>
          <w:lang w:eastAsia="zh-CN"/>
        </w:rPr>
        <w:t>教师发展中心“</w:t>
      </w:r>
      <w:r>
        <w:rPr>
          <w:rFonts w:hint="eastAsia" w:ascii="宋体" w:hAnsi="宋体"/>
          <w:b w:val="0"/>
          <w:bCs/>
          <w:sz w:val="30"/>
          <w:szCs w:val="30"/>
          <w:lang w:val="en-US" w:eastAsia="zh-CN"/>
        </w:rPr>
        <w:t>推动中小学集团化办学经费</w:t>
      </w:r>
      <w:r>
        <w:rPr>
          <w:rFonts w:hint="eastAsia" w:ascii="宋体" w:hAnsi="宋体"/>
          <w:b w:val="0"/>
          <w:bCs/>
          <w:sz w:val="30"/>
          <w:szCs w:val="30"/>
          <w:lang w:eastAsia="zh-CN"/>
        </w:rPr>
        <w:t>”</w:t>
      </w:r>
      <w:r>
        <w:rPr>
          <w:rFonts w:hint="eastAsia" w:ascii="宋体" w:hAnsi="宋体"/>
          <w:b w:val="0"/>
          <w:bCs/>
          <w:sz w:val="30"/>
          <w:szCs w:val="30"/>
        </w:rPr>
        <w:t>）</w:t>
      </w:r>
    </w:p>
    <w:p>
      <w:pPr>
        <w:spacing w:line="360" w:lineRule="auto"/>
        <w:ind w:firstLine="640" w:firstLineChars="200"/>
        <w:rPr>
          <w:rFonts w:ascii="黑体" w:eastAsia="黑体"/>
          <w:sz w:val="32"/>
          <w:szCs w:val="32"/>
        </w:rPr>
      </w:pPr>
      <w:r>
        <w:rPr>
          <w:rFonts w:hint="eastAsia" w:ascii="黑体" w:eastAsia="黑体"/>
          <w:sz w:val="32"/>
          <w:szCs w:val="32"/>
        </w:rPr>
        <w:t>一</w:t>
      </w:r>
      <w:r>
        <w:rPr>
          <w:rFonts w:hint="eastAsia" w:ascii="黑体" w:eastAsia="黑体"/>
          <w:sz w:val="32"/>
          <w:szCs w:val="32"/>
          <w:lang w:eastAsia="zh-CN"/>
        </w:rPr>
        <w:t>．</w:t>
      </w:r>
      <w:r>
        <w:rPr>
          <w:rFonts w:hint="eastAsia" w:ascii="黑体" w:eastAsia="黑体"/>
          <w:sz w:val="32"/>
          <w:szCs w:val="32"/>
        </w:rPr>
        <w:t>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 w:hAnsi="仿宋" w:eastAsia="仿宋" w:cs="仿宋_GB2312"/>
          <w:szCs w:val="32"/>
          <w:lang w:eastAsia="zh-CN"/>
        </w:rPr>
      </w:pPr>
      <w:r>
        <w:rPr>
          <w:rFonts w:hint="eastAsia" w:ascii="仿宋_GB2312" w:eastAsia="仿宋_GB2312"/>
          <w:sz w:val="32"/>
          <w:szCs w:val="32"/>
          <w:lang w:val="en-US" w:eastAsia="zh-CN"/>
        </w:rPr>
        <w:t>乳源瑶族自治县教师发展中心为乳源瑶族自治县教育局管理的公益一类事业单位，副科级。主要职能是组织实施全县中小学、幼儿园教师和校（园）长的全员培训、职务培训和提高培训，助力教师专业成长；统筹组织开展全县中小学、幼儿园校（园）本研修和培训质量监测；结合基础教育改革，组织开展教育教学研究和教改课改实验，积极推广应用国家、省、市基础教育教学成果，建造完备方便的教科研交流展示平台，以教科研成果引领教师培训，提升教师专业发展。参与教育教学质量监测；制定全县中小学、幼儿园教师、校（园）长专业发展规划，提出教师专业发展指导意见。承担全县中小学、幼儿园校（园）长和教师的继续教育工作；承担全县名教师、名校（园）长工作室、教师专业发展的协调和指导工作，为我县中小学、幼儿园教师、校（园）长专业发展提供服务。</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b/>
          <w:bCs/>
          <w:sz w:val="32"/>
          <w:szCs w:val="32"/>
          <w:lang w:val="en-US" w:eastAsia="zh-CN"/>
        </w:rPr>
        <w:t>“推动中小学集团化办学”</w:t>
      </w:r>
      <w:r>
        <w:rPr>
          <w:rFonts w:hint="eastAsia" w:ascii="仿宋_GB2312" w:eastAsia="仿宋_GB2312"/>
          <w:sz w:val="32"/>
          <w:szCs w:val="32"/>
          <w:lang w:val="en-US" w:eastAsia="zh-CN"/>
        </w:rPr>
        <w:t>项目实施的主要内容有：</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教师发展中心教师外出学习培训的差旅费；教师发展中心组织送教下乡、教学视导等教研活动费用；中小学教师信息技术应用能力提升2.0市县绩效考核工作物料费用。</w:t>
      </w:r>
    </w:p>
    <w:p>
      <w:pPr>
        <w:numPr>
          <w:ilvl w:val="0"/>
          <w:numId w:val="0"/>
        </w:numPr>
        <w:spacing w:line="360" w:lineRule="auto"/>
        <w:ind w:firstLine="640" w:firstLineChars="200"/>
        <w:rPr>
          <w:rFonts w:hint="eastAsia" w:eastAsia="仿宋_GB2312"/>
          <w:lang w:val="en-US" w:eastAsia="zh-CN"/>
        </w:rPr>
      </w:pPr>
      <w:r>
        <w:rPr>
          <w:rFonts w:hint="eastAsia" w:ascii="仿宋_GB2312" w:eastAsia="仿宋_GB2312"/>
          <w:sz w:val="32"/>
          <w:szCs w:val="32"/>
          <w:lang w:val="en-US" w:eastAsia="zh-CN"/>
        </w:rPr>
        <w:t>项目实施程序：差旅费支付是由领导审批同意出差后，根据票据额度和财经制度要求进行报销。送教下乡等活动费用是根据教师发展中心拟定的工作方案，审批通过后按程序周密组织实施，再整理相关资料进行费用结算上报、审核及支付。市县级教师信息技术能力提升2.0绩效考核工作物料费用是针对文件通知要求，严格按照物品采购流程进行。</w:t>
      </w:r>
      <w:r>
        <w:rPr>
          <w:rFonts w:hint="eastAsia" w:ascii="仿宋_GB2312" w:hAnsi="宋体" w:eastAsia="仿宋_GB2312" w:cs="宋体"/>
          <w:sz w:val="32"/>
          <w:szCs w:val="32"/>
        </w:rPr>
        <w:t>在既定的期限内完成了所有项目实施工作，严格按相关政策文件支付费用，各子项目的实施均在资金文件规定的使用范围，项目管理及资金管理均合乎要求</w:t>
      </w:r>
      <w:r>
        <w:rPr>
          <w:rFonts w:hint="eastAsia" w:ascii="仿宋_GB2312" w:hAnsi="宋体" w:eastAsia="仿宋_GB2312" w:cs="宋体"/>
          <w:sz w:val="32"/>
          <w:szCs w:val="32"/>
          <w:lang w:eastAsia="zh-CN"/>
        </w:rPr>
        <w:t>。</w:t>
      </w:r>
    </w:p>
    <w:p>
      <w:pPr>
        <w:numPr>
          <w:ilvl w:val="0"/>
          <w:numId w:val="1"/>
        </w:numPr>
        <w:spacing w:line="360" w:lineRule="auto"/>
        <w:ind w:left="0" w:leftChars="0" w:firstLine="640" w:firstLineChars="200"/>
        <w:rPr>
          <w:rFonts w:ascii="仿宋_GB2312" w:hAns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宋体" w:eastAsia="仿宋_GB2312" w:cs="宋体"/>
          <w:sz w:val="32"/>
          <w:szCs w:val="32"/>
        </w:rPr>
        <w:t>项目自评等级为</w:t>
      </w:r>
      <w:r>
        <w:rPr>
          <w:rFonts w:hint="eastAsia" w:ascii="仿宋_GB2312" w:hAnsi="宋体" w:eastAsia="仿宋_GB2312" w:cs="宋体"/>
          <w:sz w:val="32"/>
          <w:szCs w:val="32"/>
          <w:lang w:eastAsia="zh-CN"/>
        </w:rPr>
        <w:t>良好</w:t>
      </w:r>
      <w:r>
        <w:rPr>
          <w:rFonts w:hint="eastAsia" w:ascii="仿宋_GB2312" w:hAnsi="宋体" w:eastAsia="仿宋_GB2312" w:cs="宋体"/>
          <w:sz w:val="32"/>
          <w:szCs w:val="32"/>
        </w:rPr>
        <w:t>等级，</w:t>
      </w:r>
      <w:r>
        <w:rPr>
          <w:rFonts w:hint="eastAsia" w:ascii="仿宋_GB2312" w:hAnsi="宋体" w:eastAsia="仿宋_GB2312" w:cs="宋体"/>
          <w:sz w:val="32"/>
          <w:szCs w:val="32"/>
          <w:lang w:val="en-US" w:eastAsia="zh-CN"/>
        </w:rPr>
        <w:t>得分为99分。</w:t>
      </w:r>
      <w:r>
        <w:rPr>
          <w:rFonts w:hint="eastAsia" w:ascii="仿宋_GB2312" w:hAnsi="仿宋_GB2312" w:eastAsia="仿宋_GB2312"/>
          <w:sz w:val="32"/>
          <w:szCs w:val="32"/>
        </w:rPr>
        <w:t>所有项目的支出记录完整、规范，凭证合格有效</w:t>
      </w:r>
      <w:r>
        <w:rPr>
          <w:rFonts w:hint="eastAsia" w:ascii="仿宋_GB2312" w:hAnsi="仿宋_GB2312" w:eastAsia="仿宋_GB2312"/>
          <w:sz w:val="32"/>
          <w:szCs w:val="32"/>
          <w:lang w:eastAsia="zh-CN"/>
        </w:rPr>
        <w:t>，</w:t>
      </w:r>
      <w:r>
        <w:rPr>
          <w:rFonts w:hint="eastAsia" w:ascii="仿宋_GB2312" w:hAnsi="宋体" w:eastAsia="仿宋_GB2312" w:cs="宋体"/>
          <w:sz w:val="32"/>
          <w:szCs w:val="32"/>
        </w:rPr>
        <w:t>无违规违纪问题，支付途径客观公平。</w:t>
      </w:r>
    </w:p>
    <w:p>
      <w:pPr>
        <w:spacing w:line="360" w:lineRule="auto"/>
        <w:ind w:firstLine="640" w:firstLineChars="200"/>
        <w:rPr>
          <w:rFonts w:ascii="黑体" w:eastAsia="黑体"/>
          <w:sz w:val="32"/>
          <w:szCs w:val="32"/>
        </w:rPr>
      </w:pPr>
      <w:r>
        <w:rPr>
          <w:rFonts w:hint="eastAsia" w:ascii="黑体" w:eastAsia="黑体"/>
          <w:sz w:val="32"/>
          <w:szCs w:val="32"/>
        </w:rPr>
        <w:t>二</w:t>
      </w:r>
      <w:r>
        <w:rPr>
          <w:rFonts w:hint="eastAsia" w:ascii="黑体" w:eastAsia="黑体"/>
          <w:sz w:val="32"/>
          <w:szCs w:val="32"/>
          <w:lang w:eastAsia="zh-CN"/>
        </w:rPr>
        <w:t>．</w:t>
      </w:r>
      <w:r>
        <w:rPr>
          <w:rFonts w:hint="eastAsia" w:ascii="黑体" w:eastAsia="黑体"/>
          <w:sz w:val="32"/>
          <w:szCs w:val="32"/>
        </w:rPr>
        <w:t>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项目资金实际总投入情况。</w:t>
      </w:r>
    </w:p>
    <w:p>
      <w:pPr>
        <w:spacing w:line="360" w:lineRule="auto"/>
        <w:ind w:firstLine="960" w:firstLineChars="3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资金总投入50000元。</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项目资金实际支出情况。</w:t>
      </w:r>
    </w:p>
    <w:p>
      <w:pPr>
        <w:numPr>
          <w:ilvl w:val="0"/>
          <w:numId w:val="0"/>
        </w:numPr>
        <w:spacing w:line="360" w:lineRule="auto"/>
        <w:ind w:firstLine="960" w:firstLineChars="3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实际支出50000元，详见下表：</w:t>
      </w:r>
    </w:p>
    <w:p>
      <w:pPr>
        <w:pStyle w:val="2"/>
        <w:rPr>
          <w:rFonts w:hint="eastAsia" w:ascii="仿宋_GB2312" w:hAnsi="仿宋_GB2312" w:eastAsia="仿宋_GB2312"/>
          <w:sz w:val="32"/>
          <w:szCs w:val="32"/>
          <w:lang w:val="en-US" w:eastAsia="zh-CN"/>
        </w:rPr>
      </w:pPr>
    </w:p>
    <w:p>
      <w:pPr>
        <w:pStyle w:val="2"/>
        <w:rPr>
          <w:rFonts w:hint="eastAsia" w:ascii="仿宋_GB2312" w:hAnsi="仿宋_GB2312" w:eastAsia="仿宋_GB2312"/>
          <w:sz w:val="32"/>
          <w:szCs w:val="32"/>
          <w:lang w:val="en-US" w:eastAsia="zh-CN"/>
        </w:rPr>
      </w:pPr>
    </w:p>
    <w:tbl>
      <w:tblPr>
        <w:tblStyle w:val="6"/>
        <w:tblpPr w:leftFromText="180" w:rightFromText="180" w:vertAnchor="text" w:horzAnchor="page" w:tblpX="1574" w:tblpY="238"/>
        <w:tblOverlap w:val="never"/>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4540" w:type="dxa"/>
            <w:vAlign w:val="center"/>
          </w:tcPr>
          <w:p>
            <w:pPr>
              <w:numPr>
                <w:ilvl w:val="0"/>
                <w:numId w:val="0"/>
              </w:numPr>
              <w:spacing w:line="360" w:lineRule="auto"/>
              <w:jc w:val="center"/>
              <w:rPr>
                <w:rFonts w:hint="eastAsia" w:ascii="仿宋_GB2312" w:hAnsi="仿宋_GB2312" w:eastAsia="仿宋_GB2312"/>
                <w:b w:val="0"/>
                <w:bCs w:val="0"/>
                <w:sz w:val="32"/>
                <w:szCs w:val="32"/>
                <w:vertAlign w:val="baseline"/>
                <w:lang w:val="en-US" w:eastAsia="zh-CN"/>
              </w:rPr>
            </w:pPr>
            <w:r>
              <w:rPr>
                <w:rFonts w:hint="eastAsia" w:ascii="仿宋_GB2312" w:hAnsi="仿宋_GB2312" w:eastAsia="仿宋_GB2312"/>
                <w:b w:val="0"/>
                <w:bCs w:val="0"/>
                <w:sz w:val="32"/>
                <w:szCs w:val="32"/>
                <w:vertAlign w:val="baseline"/>
                <w:lang w:val="en-US" w:eastAsia="zh-CN"/>
              </w:rPr>
              <w:t>项目</w:t>
            </w:r>
          </w:p>
        </w:tc>
        <w:tc>
          <w:tcPr>
            <w:tcW w:w="4540" w:type="dxa"/>
            <w:vAlign w:val="center"/>
          </w:tcPr>
          <w:p>
            <w:pPr>
              <w:numPr>
                <w:ilvl w:val="0"/>
                <w:numId w:val="0"/>
              </w:numPr>
              <w:spacing w:line="360" w:lineRule="auto"/>
              <w:jc w:val="center"/>
              <w:rPr>
                <w:rFonts w:hint="eastAsia" w:ascii="仿宋_GB2312" w:hAnsi="仿宋_GB2312" w:eastAsia="仿宋_GB2312"/>
                <w:b w:val="0"/>
                <w:bCs w:val="0"/>
                <w:sz w:val="32"/>
                <w:szCs w:val="32"/>
                <w:vertAlign w:val="baseline"/>
                <w:lang w:val="en-US" w:eastAsia="zh-CN"/>
              </w:rPr>
            </w:pPr>
            <w:r>
              <w:rPr>
                <w:rFonts w:hint="eastAsia" w:ascii="仿宋_GB2312" w:hAnsi="仿宋_GB2312" w:eastAsia="仿宋_GB2312"/>
                <w:b w:val="0"/>
                <w:bCs w:val="0"/>
                <w:sz w:val="32"/>
                <w:szCs w:val="32"/>
                <w:vertAlign w:val="baseline"/>
                <w:lang w:val="en-US" w:eastAsia="zh-CN"/>
              </w:rPr>
              <w:t>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454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28"/>
                <w:szCs w:val="28"/>
                <w:u w:val="none"/>
                <w:lang w:val="en-US" w:eastAsia="zh-CN" w:bidi="ar"/>
              </w:rPr>
              <w:t>中小学教师信息技术应用能力提升2.0市、县绩效考核工作物料</w:t>
            </w:r>
            <w:r>
              <w:rPr>
                <w:rFonts w:hint="eastAsia" w:ascii="宋体" w:hAnsi="宋体" w:cs="宋体"/>
                <w:b w:val="0"/>
                <w:bCs w:val="0"/>
                <w:i w:val="0"/>
                <w:iCs w:val="0"/>
                <w:color w:val="000000"/>
                <w:kern w:val="0"/>
                <w:sz w:val="28"/>
                <w:szCs w:val="28"/>
                <w:u w:val="none"/>
                <w:lang w:val="en-US" w:eastAsia="zh-CN" w:bidi="ar"/>
              </w:rPr>
              <w:t>（</w:t>
            </w:r>
            <w:r>
              <w:rPr>
                <w:rFonts w:hint="eastAsia" w:ascii="宋体" w:hAnsi="宋体" w:eastAsia="宋体" w:cs="宋体"/>
                <w:b w:val="0"/>
                <w:bCs w:val="0"/>
                <w:i w:val="0"/>
                <w:iCs w:val="0"/>
                <w:color w:val="000000"/>
                <w:kern w:val="0"/>
                <w:sz w:val="28"/>
                <w:szCs w:val="28"/>
                <w:u w:val="none"/>
                <w:lang w:val="en-US" w:eastAsia="zh-CN" w:bidi="ar"/>
              </w:rPr>
              <w:t>2项</w:t>
            </w:r>
            <w:r>
              <w:rPr>
                <w:rFonts w:hint="eastAsia" w:ascii="宋体" w:hAnsi="宋体" w:cs="宋体"/>
                <w:b w:val="0"/>
                <w:bCs w:val="0"/>
                <w:i w:val="0"/>
                <w:iCs w:val="0"/>
                <w:color w:val="000000"/>
                <w:kern w:val="0"/>
                <w:sz w:val="28"/>
                <w:szCs w:val="28"/>
                <w:u w:val="none"/>
                <w:lang w:val="en-US" w:eastAsia="zh-CN" w:bidi="ar"/>
              </w:rPr>
              <w:t>）</w:t>
            </w:r>
          </w:p>
        </w:tc>
        <w:tc>
          <w:tcPr>
            <w:tcW w:w="454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28"/>
                <w:szCs w:val="28"/>
                <w:u w:val="none"/>
                <w:lang w:val="en-US" w:eastAsia="zh-CN" w:bidi="ar"/>
              </w:rPr>
              <w:t>2337元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54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28"/>
                <w:szCs w:val="28"/>
                <w:u w:val="none"/>
                <w:lang w:val="en-US" w:eastAsia="zh-CN" w:bidi="ar"/>
              </w:rPr>
              <w:t>差旅费</w:t>
            </w:r>
            <w:r>
              <w:rPr>
                <w:rFonts w:hint="eastAsia" w:ascii="宋体" w:hAnsi="宋体" w:cs="宋体"/>
                <w:b w:val="0"/>
                <w:bCs w:val="0"/>
                <w:i w:val="0"/>
                <w:iCs w:val="0"/>
                <w:color w:val="000000"/>
                <w:kern w:val="0"/>
                <w:sz w:val="28"/>
                <w:szCs w:val="28"/>
                <w:u w:val="none"/>
                <w:lang w:val="en-US" w:eastAsia="zh-CN" w:bidi="ar"/>
              </w:rPr>
              <w:t>（</w:t>
            </w:r>
            <w:r>
              <w:rPr>
                <w:rFonts w:hint="eastAsia" w:ascii="宋体" w:hAnsi="宋体" w:eastAsia="宋体" w:cs="宋体"/>
                <w:b w:val="0"/>
                <w:bCs w:val="0"/>
                <w:i w:val="0"/>
                <w:iCs w:val="0"/>
                <w:color w:val="000000"/>
                <w:kern w:val="0"/>
                <w:sz w:val="28"/>
                <w:szCs w:val="28"/>
                <w:u w:val="none"/>
                <w:lang w:val="en-US" w:eastAsia="zh-CN" w:bidi="ar"/>
              </w:rPr>
              <w:t>3项</w:t>
            </w:r>
            <w:r>
              <w:rPr>
                <w:rFonts w:hint="eastAsia" w:ascii="宋体" w:hAnsi="宋体" w:cs="宋体"/>
                <w:b w:val="0"/>
                <w:bCs w:val="0"/>
                <w:i w:val="0"/>
                <w:iCs w:val="0"/>
                <w:color w:val="000000"/>
                <w:kern w:val="0"/>
                <w:sz w:val="28"/>
                <w:szCs w:val="28"/>
                <w:u w:val="none"/>
                <w:lang w:val="en-US" w:eastAsia="zh-CN" w:bidi="ar"/>
              </w:rPr>
              <w:t>）</w:t>
            </w:r>
          </w:p>
        </w:tc>
        <w:tc>
          <w:tcPr>
            <w:tcW w:w="454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28"/>
                <w:szCs w:val="28"/>
                <w:u w:val="none"/>
                <w:lang w:val="en-US" w:eastAsia="zh-CN" w:bidi="ar"/>
              </w:rPr>
              <w:t>5011.50元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454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8"/>
                <w:szCs w:val="28"/>
                <w:u w:val="none"/>
                <w:lang w:val="en-US" w:eastAsia="zh-CN" w:bidi="ar"/>
              </w:rPr>
            </w:pPr>
            <w:r>
              <w:rPr>
                <w:rFonts w:hint="eastAsia" w:ascii="宋体" w:hAnsi="宋体" w:eastAsia="宋体" w:cs="宋体"/>
                <w:b w:val="0"/>
                <w:bCs w:val="0"/>
                <w:i w:val="0"/>
                <w:iCs w:val="0"/>
                <w:color w:val="000000"/>
                <w:kern w:val="0"/>
                <w:sz w:val="28"/>
                <w:szCs w:val="28"/>
                <w:u w:val="none"/>
                <w:lang w:val="en-US" w:eastAsia="zh-CN" w:bidi="ar"/>
              </w:rPr>
              <w:t>开展送教下乡及教学视导等</w:t>
            </w:r>
          </w:p>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28"/>
                <w:szCs w:val="28"/>
                <w:u w:val="none"/>
                <w:lang w:val="en-US" w:eastAsia="zh-CN" w:bidi="ar"/>
              </w:rPr>
              <w:t>活动</w:t>
            </w:r>
            <w:r>
              <w:rPr>
                <w:rFonts w:hint="eastAsia" w:ascii="宋体" w:hAnsi="宋体" w:cs="宋体"/>
                <w:b w:val="0"/>
                <w:bCs w:val="0"/>
                <w:i w:val="0"/>
                <w:iCs w:val="0"/>
                <w:color w:val="000000"/>
                <w:kern w:val="0"/>
                <w:sz w:val="28"/>
                <w:szCs w:val="28"/>
                <w:u w:val="none"/>
                <w:lang w:val="en-US" w:eastAsia="zh-CN" w:bidi="ar"/>
              </w:rPr>
              <w:t>（</w:t>
            </w:r>
            <w:r>
              <w:rPr>
                <w:rFonts w:hint="eastAsia" w:ascii="宋体" w:hAnsi="宋体" w:eastAsia="宋体" w:cs="宋体"/>
                <w:b w:val="0"/>
                <w:bCs w:val="0"/>
                <w:i w:val="0"/>
                <w:iCs w:val="0"/>
                <w:color w:val="000000"/>
                <w:kern w:val="0"/>
                <w:sz w:val="28"/>
                <w:szCs w:val="28"/>
                <w:u w:val="none"/>
                <w:lang w:val="en-US" w:eastAsia="zh-CN" w:bidi="ar"/>
              </w:rPr>
              <w:t>8项</w:t>
            </w:r>
            <w:r>
              <w:rPr>
                <w:rFonts w:hint="eastAsia" w:ascii="宋体" w:hAnsi="宋体" w:cs="宋体"/>
                <w:b w:val="0"/>
                <w:bCs w:val="0"/>
                <w:i w:val="0"/>
                <w:iCs w:val="0"/>
                <w:color w:val="000000"/>
                <w:kern w:val="0"/>
                <w:sz w:val="28"/>
                <w:szCs w:val="28"/>
                <w:u w:val="none"/>
                <w:lang w:val="en-US" w:eastAsia="zh-CN" w:bidi="ar"/>
              </w:rPr>
              <w:t>）</w:t>
            </w:r>
          </w:p>
        </w:tc>
        <w:tc>
          <w:tcPr>
            <w:tcW w:w="454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28"/>
                <w:szCs w:val="28"/>
                <w:u w:val="none"/>
                <w:lang w:val="en-US" w:eastAsia="zh-CN" w:bidi="ar"/>
              </w:rPr>
              <w:t>42651.50元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454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8"/>
                <w:szCs w:val="28"/>
                <w:u w:val="none"/>
                <w:lang w:val="en-US" w:eastAsia="zh-CN" w:bidi="ar"/>
              </w:rPr>
            </w:pPr>
            <w:r>
              <w:rPr>
                <w:rFonts w:hint="eastAsia" w:ascii="宋体" w:hAnsi="宋体" w:cs="宋体"/>
                <w:b w:val="0"/>
                <w:bCs w:val="0"/>
                <w:i w:val="0"/>
                <w:iCs w:val="0"/>
                <w:color w:val="000000"/>
                <w:kern w:val="0"/>
                <w:sz w:val="28"/>
                <w:szCs w:val="28"/>
                <w:u w:val="none"/>
                <w:lang w:val="en-US" w:eastAsia="zh-CN" w:bidi="ar"/>
              </w:rPr>
              <w:t>合计</w:t>
            </w:r>
          </w:p>
        </w:tc>
        <w:tc>
          <w:tcPr>
            <w:tcW w:w="4540" w:type="dxa"/>
            <w:vAlign w:val="center"/>
          </w:tcPr>
          <w:p>
            <w:pPr>
              <w:keepNext w:val="0"/>
              <w:keepLines w:val="0"/>
              <w:widowControl/>
              <w:suppressLineNumbers w:val="0"/>
              <w:jc w:val="center"/>
              <w:textAlignment w:val="center"/>
              <w:rPr>
                <w:rFonts w:hint="default" w:ascii="宋体" w:hAnsi="宋体" w:cs="宋体"/>
                <w:b w:val="0"/>
                <w:bCs w:val="0"/>
                <w:i w:val="0"/>
                <w:iCs w:val="0"/>
                <w:color w:val="000000"/>
                <w:kern w:val="0"/>
                <w:sz w:val="28"/>
                <w:szCs w:val="28"/>
                <w:u w:val="none"/>
                <w:lang w:val="en-US" w:eastAsia="zh-CN" w:bidi="ar"/>
              </w:rPr>
            </w:pPr>
            <w:r>
              <w:rPr>
                <w:rFonts w:hint="eastAsia" w:ascii="宋体" w:hAnsi="宋体" w:cs="宋体"/>
                <w:b w:val="0"/>
                <w:bCs w:val="0"/>
                <w:i w:val="0"/>
                <w:iCs w:val="0"/>
                <w:color w:val="000000"/>
                <w:kern w:val="0"/>
                <w:sz w:val="28"/>
                <w:szCs w:val="28"/>
                <w:u w:val="none"/>
                <w:lang w:val="en-US" w:eastAsia="zh-CN" w:bidi="ar"/>
              </w:rPr>
              <w:t>50000元</w:t>
            </w:r>
          </w:p>
        </w:tc>
      </w:tr>
    </w:tbl>
    <w:p>
      <w:pPr>
        <w:numPr>
          <w:ilvl w:val="0"/>
          <w:numId w:val="0"/>
        </w:numPr>
        <w:spacing w:line="360" w:lineRule="auto"/>
        <w:ind w:leftChars="200"/>
        <w:rPr>
          <w:rFonts w:hint="eastAsia" w:ascii="仿宋_GB2312" w:hAnsi="仿宋_GB2312" w:eastAsia="仿宋_GB2312"/>
          <w:sz w:val="32"/>
          <w:szCs w:val="32"/>
          <w:lang w:val="en-US" w:eastAsia="zh-CN"/>
        </w:rPr>
      </w:pPr>
    </w:p>
    <w:p>
      <w:pPr>
        <w:numPr>
          <w:ilvl w:val="0"/>
          <w:numId w:val="0"/>
        </w:numPr>
        <w:spacing w:line="360" w:lineRule="auto"/>
        <w:ind w:firstLine="320" w:firstLineChars="1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640" w:firstLineChars="200"/>
        <w:rPr>
          <w:rFonts w:hint="eastAsia" w:ascii="仿宋_GB2312" w:hAnsi="仿宋_GB2312" w:eastAsia="仿宋_GB2312"/>
          <w:sz w:val="32"/>
          <w:szCs w:val="32"/>
          <w:lang w:val="en-US" w:eastAsia="zh-CN"/>
        </w:rPr>
      </w:pPr>
      <w:r>
        <w:rPr>
          <w:rFonts w:hint="eastAsia" w:ascii="仿宋_GB2312" w:hAnsi="宋体" w:eastAsia="仿宋_GB2312" w:cs="宋体"/>
          <w:sz w:val="32"/>
          <w:szCs w:val="32"/>
          <w:lang w:val="en-US" w:eastAsia="zh-CN"/>
        </w:rPr>
        <w:t>按计划100</w:t>
      </w:r>
      <w:r>
        <w:rPr>
          <w:rFonts w:hint="eastAsia" w:ascii="宋体" w:hAnsi="宋体" w:eastAsia="宋体" w:cs="宋体"/>
          <w:sz w:val="32"/>
          <w:szCs w:val="32"/>
          <w:lang w:val="en-US" w:eastAsia="zh-CN"/>
        </w:rPr>
        <w:t>％</w:t>
      </w:r>
      <w:r>
        <w:rPr>
          <w:rFonts w:hint="eastAsia" w:ascii="仿宋_GB2312" w:hAnsi="宋体" w:eastAsia="仿宋_GB2312" w:cs="宋体"/>
          <w:sz w:val="32"/>
          <w:szCs w:val="32"/>
          <w:lang w:val="en-US" w:eastAsia="zh-CN"/>
        </w:rPr>
        <w:t>完成了预定</w:t>
      </w:r>
      <w:r>
        <w:rPr>
          <w:rFonts w:hint="eastAsia" w:ascii="仿宋_GB2312" w:hAnsi="宋体" w:eastAsia="仿宋_GB2312" w:cs="宋体"/>
          <w:sz w:val="32"/>
          <w:szCs w:val="32"/>
        </w:rPr>
        <w:t>项目</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效果显著：首先，通过市县绩效考核，进一步促进全县中小学校教师信息技术应用能力提升2.0工程落到实处，有效提升了教师应用信息技术能力综合素质。其次，通过送教下乡、教学视导等活动全面推进教研共同体协同发展，</w:t>
      </w:r>
      <w:r>
        <w:rPr>
          <w:rFonts w:hint="eastAsia" w:ascii="仿宋_GB2312" w:hAnsi="仿宋_GB2312" w:eastAsia="仿宋_GB2312"/>
          <w:sz w:val="32"/>
          <w:szCs w:val="32"/>
          <w:lang w:val="en-US" w:eastAsia="zh-CN"/>
        </w:rPr>
        <w:t>促进了我县教育均衡发展和教育教学水平的提升。</w:t>
      </w:r>
    </w:p>
    <w:p>
      <w:pPr>
        <w:numPr>
          <w:ilvl w:val="0"/>
          <w:numId w:val="0"/>
        </w:numPr>
        <w:spacing w:line="360" w:lineRule="auto"/>
        <w:ind w:left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640" w:firstLineChars="200"/>
        <w:rPr>
          <w:rFonts w:hint="eastAsia" w:ascii="仿宋_GB2312" w:hAnsi="仿宋_GB2312" w:eastAsia="仿宋_GB2312"/>
          <w:sz w:val="32"/>
          <w:szCs w:val="32"/>
          <w:lang w:val="en-US" w:eastAsia="zh-CN"/>
        </w:rPr>
      </w:pPr>
      <w:r>
        <w:rPr>
          <w:rFonts w:hint="eastAsia" w:ascii="仿宋_GB2312" w:hAnsi="宋体" w:eastAsia="仿宋_GB2312" w:cs="宋体"/>
          <w:sz w:val="32"/>
          <w:szCs w:val="32"/>
        </w:rPr>
        <w:t>项目资金</w:t>
      </w:r>
      <w:r>
        <w:rPr>
          <w:rFonts w:hint="eastAsia" w:ascii="仿宋_GB2312" w:hAnsi="宋体" w:eastAsia="仿宋_GB2312" w:cs="宋体"/>
          <w:sz w:val="32"/>
          <w:szCs w:val="32"/>
          <w:lang w:val="en-US" w:eastAsia="zh-CN"/>
        </w:rPr>
        <w:t>的</w:t>
      </w:r>
      <w:r>
        <w:rPr>
          <w:rFonts w:hint="eastAsia" w:ascii="仿宋_GB2312" w:hAnsi="宋体" w:eastAsia="仿宋_GB2312" w:cs="宋体"/>
          <w:sz w:val="32"/>
          <w:szCs w:val="32"/>
        </w:rPr>
        <w:t>使用</w:t>
      </w:r>
      <w:bookmarkStart w:id="0" w:name="_GoBack"/>
      <w:bookmarkEnd w:id="0"/>
      <w:r>
        <w:rPr>
          <w:rFonts w:hint="eastAsia" w:ascii="仿宋_GB2312" w:hAnsi="仿宋_GB2312" w:eastAsia="仿宋_GB2312"/>
          <w:sz w:val="32"/>
          <w:szCs w:val="32"/>
          <w:lang w:val="en-US" w:eastAsia="zh-CN"/>
        </w:rPr>
        <w:t>，有效推进了中小学教研共同体协同提升，推动我县教育均衡发展和可持续发展。</w:t>
      </w:r>
    </w:p>
    <w:p>
      <w:pPr>
        <w:numPr>
          <w:numId w:val="0"/>
        </w:numPr>
        <w:spacing w:line="360" w:lineRule="auto"/>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68D0F"/>
    <w:multiLevelType w:val="singleLevel"/>
    <w:tmpl w:val="D7468D0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QwMjc2OWRlYTFiZjAzN2RkMTE4MTYwMGIwMDUwMzk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34A3B11"/>
    <w:rsid w:val="04D952F3"/>
    <w:rsid w:val="06931577"/>
    <w:rsid w:val="0E990BF7"/>
    <w:rsid w:val="124E7913"/>
    <w:rsid w:val="15585D38"/>
    <w:rsid w:val="1B7F780E"/>
    <w:rsid w:val="1BEA0FB0"/>
    <w:rsid w:val="1E4D2133"/>
    <w:rsid w:val="2A0C3112"/>
    <w:rsid w:val="2BBC2806"/>
    <w:rsid w:val="2DFF537B"/>
    <w:rsid w:val="30692EE8"/>
    <w:rsid w:val="315E5C19"/>
    <w:rsid w:val="39921607"/>
    <w:rsid w:val="3BD4462F"/>
    <w:rsid w:val="42C24A0E"/>
    <w:rsid w:val="468762A1"/>
    <w:rsid w:val="4DDB2A15"/>
    <w:rsid w:val="51D5349C"/>
    <w:rsid w:val="5375086E"/>
    <w:rsid w:val="556D3050"/>
    <w:rsid w:val="5AA74954"/>
    <w:rsid w:val="5DE74E6C"/>
    <w:rsid w:val="5E0440BB"/>
    <w:rsid w:val="61626E8A"/>
    <w:rsid w:val="681A531B"/>
    <w:rsid w:val="6A553A30"/>
    <w:rsid w:val="6E1E62DB"/>
    <w:rsid w:val="77BF0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宋体" w:hAnsi="宋体" w:eastAsia="宋体" w:cs="宋体"/>
      <w:kern w:val="0"/>
      <w:sz w:val="32"/>
      <w:szCs w:val="32"/>
      <w:lang w:val="zh-CN" w:bidi="zh-CN"/>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semiHidden/>
    <w:qFormat/>
    <w:uiPriority w:val="99"/>
    <w:rPr>
      <w:rFonts w:ascii="Times New Roman" w:hAnsi="Times New Roman" w:eastAsia="宋体" w:cs="Times New Roman"/>
      <w:sz w:val="18"/>
      <w:szCs w:val="18"/>
    </w:rPr>
  </w:style>
  <w:style w:type="character" w:customStyle="1" w:styleId="9">
    <w:name w:val="页脚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1147</Words>
  <Characters>1179</Characters>
  <Lines>1</Lines>
  <Paragraphs>1</Paragraphs>
  <TotalTime>14</TotalTime>
  <ScaleCrop>false</ScaleCrop>
  <LinksUpToDate>false</LinksUpToDate>
  <CharactersWithSpaces>1179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春天的树林</cp:lastModifiedBy>
  <cp:lastPrinted>2023-05-30T09:23:00Z</cp:lastPrinted>
  <dcterms:modified xsi:type="dcterms:W3CDTF">2024-03-19T10:11:55Z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897BABCAA465473DAAF55A6054725C2D_12</vt:lpwstr>
  </property>
</Properties>
</file>