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宋体" w:cs="宋体"/>
          <w:b/>
          <w:bCs/>
          <w:sz w:val="36"/>
          <w:szCs w:val="36"/>
        </w:rPr>
      </w:pPr>
      <w:r>
        <w:rPr>
          <w:rFonts w:hint="eastAsia" w:ascii="宋体" w:hAnsi="宋体" w:cs="宋体"/>
          <w:sz w:val="32"/>
          <w:szCs w:val="32"/>
        </w:rPr>
        <w:t>附件</w:t>
      </w:r>
      <w:r>
        <w:rPr>
          <w:rFonts w:ascii="宋体" w:hAnsi="宋体" w:cs="宋体"/>
          <w:sz w:val="32"/>
          <w:szCs w:val="32"/>
        </w:rPr>
        <w:t>2-2</w:t>
      </w:r>
    </w:p>
    <w:p>
      <w:pPr>
        <w:keepNext w:val="0"/>
        <w:keepLines w:val="0"/>
        <w:pageBreakBefore w:val="0"/>
        <w:kinsoku/>
        <w:wordWrap/>
        <w:overflowPunct/>
        <w:topLinePunct w:val="0"/>
        <w:autoSpaceDE/>
        <w:autoSpaceDN/>
        <w:bidi w:val="0"/>
        <w:adjustRightInd/>
        <w:snapToGrid/>
        <w:spacing w:line="360" w:lineRule="auto"/>
        <w:jc w:val="center"/>
        <w:rPr>
          <w:rFonts w:ascii="宋体" w:cs="宋体"/>
          <w:b/>
          <w:bCs/>
          <w:sz w:val="36"/>
          <w:szCs w:val="36"/>
        </w:rPr>
      </w:pPr>
      <w:r>
        <w:rPr>
          <w:rFonts w:hint="eastAsia" w:ascii="宋体" w:hAnsi="宋体" w:cs="宋体"/>
          <w:b/>
          <w:bCs/>
          <w:sz w:val="36"/>
          <w:szCs w:val="36"/>
        </w:rPr>
        <w:t>高考和中考</w:t>
      </w:r>
      <w:r>
        <w:rPr>
          <w:rFonts w:hint="eastAsia" w:ascii="宋体" w:hAnsi="宋体" w:cs="宋体"/>
          <w:b/>
          <w:bCs/>
          <w:sz w:val="36"/>
          <w:szCs w:val="36"/>
          <w:lang w:eastAsia="zh-CN"/>
        </w:rPr>
        <w:t>考试费</w:t>
      </w:r>
      <w:r>
        <w:rPr>
          <w:rFonts w:hint="eastAsia" w:ascii="宋体" w:hAnsi="宋体" w:cs="宋体"/>
          <w:b/>
          <w:bCs/>
          <w:sz w:val="36"/>
          <w:szCs w:val="36"/>
        </w:rPr>
        <w:t>支出项目绩效自评报告</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一、项目基本情况及自评结论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（一）项目用款单位简要情况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乳源高级中学创建于2003年，是我县唯一一所全日制普通高中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乳源瑶族自治县中等职业技术学校是由人民政府举办的一所全日制中等职业技术学校，开设有9个专业和3+技能证书高考班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乳源中学、民族实验学校、侯公渡初级中学、一六镇初级中学、桂头中学、大桥镇初级中学</w:t>
      </w:r>
      <w:r>
        <w:rPr>
          <w:rFonts w:hint="eastAsia" w:ascii="仿宋_GB2312" w:hAnsi="仿宋_GB2312" w:eastAsia="仿宋_GB2312" w:cs="仿宋_GB2312"/>
          <w:sz w:val="32"/>
          <w:szCs w:val="32"/>
          <w:lang w:eastAsia="zh-CN"/>
        </w:rPr>
        <w:t>、大布镇初级中学等</w:t>
      </w:r>
      <w:r>
        <w:rPr>
          <w:rFonts w:hint="eastAsia" w:ascii="仿宋_GB2312" w:hAnsi="仿宋_GB2312" w:eastAsia="仿宋_GB2312" w:cs="仿宋_GB2312"/>
          <w:sz w:val="32"/>
          <w:szCs w:val="32"/>
          <w:lang w:val="en-US" w:eastAsia="zh-CN"/>
        </w:rPr>
        <w:t>7所中学</w:t>
      </w:r>
      <w:r>
        <w:rPr>
          <w:rFonts w:hint="eastAsia" w:ascii="仿宋_GB2312" w:hAnsi="仿宋_GB2312" w:eastAsia="仿宋_GB2312" w:cs="仿宋_GB2312"/>
          <w:sz w:val="32"/>
          <w:szCs w:val="32"/>
        </w:rPr>
        <w:t>是义务教育阶段初级中学。</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（二）项目实施主要内容及实施程序</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项目实施主要内容</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高考和中考</w:t>
      </w:r>
      <w:r>
        <w:rPr>
          <w:rFonts w:hint="eastAsia" w:ascii="仿宋_GB2312" w:hAnsi="仿宋_GB2312" w:eastAsia="仿宋_GB2312" w:cs="仿宋_GB2312"/>
          <w:sz w:val="32"/>
          <w:szCs w:val="32"/>
          <w:lang w:eastAsia="zh-CN"/>
        </w:rPr>
        <w:t>考试</w:t>
      </w:r>
      <w:r>
        <w:rPr>
          <w:rFonts w:hint="eastAsia" w:ascii="仿宋_GB2312" w:hAnsi="仿宋_GB2312" w:eastAsia="仿宋_GB2312" w:cs="仿宋_GB2312"/>
          <w:sz w:val="32"/>
          <w:szCs w:val="32"/>
        </w:rPr>
        <w:t>费。</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实施程序</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考试中心明确资金使用范围，学校负责具体发放。</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（三）综述项目自评等级和分数，并对照佐证材料逐一分析。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项目自评优秀等级，</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分。在既定的期限内完成了高考和中考</w:t>
      </w:r>
      <w:r>
        <w:rPr>
          <w:rFonts w:hint="eastAsia" w:ascii="仿宋_GB2312" w:hAnsi="仿宋_GB2312" w:eastAsia="仿宋_GB2312" w:cs="仿宋_GB2312"/>
          <w:sz w:val="32"/>
          <w:szCs w:val="32"/>
          <w:lang w:eastAsia="zh-CN"/>
        </w:rPr>
        <w:t>考试费</w:t>
      </w:r>
      <w:r>
        <w:rPr>
          <w:rFonts w:hint="eastAsia" w:ascii="仿宋_GB2312" w:hAnsi="仿宋_GB2312" w:eastAsia="仿宋_GB2312" w:cs="仿宋_GB2312"/>
          <w:sz w:val="32"/>
          <w:szCs w:val="32"/>
        </w:rPr>
        <w:t>的支付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产生积极效益。项目实施均在资金文件规定的使用范围。项目管理及资金管理均合乎要求，无违规违纪问题。支付途径客观公平。</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二、绩效表现</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项目资金实际总投入情况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sz w:val="32"/>
          <w:szCs w:val="32"/>
        </w:rPr>
        <w:t>县财政拨付的高考和中考监考费为</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，其他考试费用</w:t>
      </w:r>
      <w:r>
        <w:rPr>
          <w:rFonts w:hint="eastAsia" w:ascii="仿宋_GB2312" w:hAnsi="仿宋_GB2312" w:eastAsia="仿宋_GB2312" w:cs="仿宋_GB2312"/>
          <w:sz w:val="32"/>
          <w:szCs w:val="32"/>
          <w:lang w:val="en-US" w:eastAsia="zh-CN"/>
        </w:rPr>
        <w:t>32.4916万元，合计112.4916</w:t>
      </w:r>
      <w:r>
        <w:rPr>
          <w:rFonts w:hint="eastAsia" w:ascii="仿宋_GB2312" w:hAnsi="仿宋_GB2312" w:eastAsia="仿宋_GB2312" w:cs="仿宋_GB2312"/>
          <w:i w:val="0"/>
          <w:color w:val="000000"/>
          <w:kern w:val="0"/>
          <w:sz w:val="32"/>
          <w:szCs w:val="32"/>
          <w:u w:val="none"/>
          <w:lang w:val="en-US" w:eastAsia="zh-CN" w:bidi="ar"/>
        </w:rPr>
        <w:t>万元。具体见下表：</w:t>
      </w:r>
    </w:p>
    <w:tbl>
      <w:tblPr>
        <w:tblStyle w:val="4"/>
        <w:tblpPr w:leftFromText="180" w:rightFromText="180" w:vertAnchor="text" w:horzAnchor="page" w:tblpX="1297" w:tblpY="709"/>
        <w:tblOverlap w:val="never"/>
        <w:tblW w:w="8647" w:type="dxa"/>
        <w:tblInd w:w="0" w:type="dxa"/>
        <w:shd w:val="clear" w:color="auto" w:fill="auto"/>
        <w:tblLayout w:type="fixed"/>
        <w:tblCellMar>
          <w:top w:w="0" w:type="dxa"/>
          <w:left w:w="0" w:type="dxa"/>
          <w:bottom w:w="0" w:type="dxa"/>
          <w:right w:w="0" w:type="dxa"/>
        </w:tblCellMar>
      </w:tblPr>
      <w:tblGrid>
        <w:gridCol w:w="727"/>
        <w:gridCol w:w="4488"/>
        <w:gridCol w:w="1248"/>
        <w:gridCol w:w="2184"/>
      </w:tblGrid>
      <w:tr>
        <w:tblPrEx>
          <w:shd w:val="clear" w:color="auto" w:fill="auto"/>
          <w:tblCellMar>
            <w:top w:w="0" w:type="dxa"/>
            <w:left w:w="0" w:type="dxa"/>
            <w:bottom w:w="0" w:type="dxa"/>
            <w:right w:w="0" w:type="dxa"/>
          </w:tblCellMar>
        </w:tblPrEx>
        <w:trPr>
          <w:trHeight w:val="80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
              </w:rPr>
              <w:t>序号</w:t>
            </w:r>
          </w:p>
        </w:tc>
        <w:tc>
          <w:tcPr>
            <w:tcW w:w="44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
              </w:rPr>
              <w:t>资金来源</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
              </w:rPr>
              <w:t>金额（元）</w:t>
            </w:r>
          </w:p>
        </w:tc>
        <w:tc>
          <w:tcPr>
            <w:tcW w:w="21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
              </w:rPr>
              <w:t>备注</w:t>
            </w:r>
          </w:p>
        </w:tc>
      </w:tr>
      <w:tr>
        <w:tblPrEx>
          <w:tblCellMar>
            <w:top w:w="0" w:type="dxa"/>
            <w:left w:w="0" w:type="dxa"/>
            <w:bottom w:w="0" w:type="dxa"/>
            <w:right w:w="0" w:type="dxa"/>
          </w:tblCellMar>
        </w:tblPrEx>
        <w:trPr>
          <w:trHeight w:val="40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top"/>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高考和中考考试费</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tabs>
                <w:tab w:val="center" w:pos="642"/>
              </w:tabs>
              <w:kinsoku/>
              <w:wordWrap/>
              <w:overflowPunct/>
              <w:topLinePunct w:val="0"/>
              <w:autoSpaceDE/>
              <w:autoSpaceDN/>
              <w:bidi w:val="0"/>
              <w:adjustRightInd/>
              <w:snapToGrid/>
              <w:spacing w:line="360" w:lineRule="auto"/>
              <w:jc w:val="center"/>
              <w:textAlignment w:val="center"/>
              <w:rPr>
                <w:rFonts w:hint="default"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800000</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2023县级部门预算</w:t>
            </w:r>
          </w:p>
        </w:tc>
      </w:tr>
      <w:tr>
        <w:tblPrEx>
          <w:tblCellMar>
            <w:top w:w="0" w:type="dxa"/>
            <w:left w:w="0" w:type="dxa"/>
            <w:bottom w:w="0" w:type="dxa"/>
            <w:right w:w="0" w:type="dxa"/>
          </w:tblCellMar>
        </w:tblPrEx>
        <w:trPr>
          <w:trHeight w:val="56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top"/>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w:t>
            </w:r>
          </w:p>
        </w:tc>
        <w:tc>
          <w:tcPr>
            <w:tcW w:w="44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2023年普通高考及高中学业水平考试经费</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_GB2312" w:hAnsi="仿宋_GB2312" w:eastAsia="仿宋_GB2312" w:cs="仿宋_GB2312"/>
                <w:i w:val="0"/>
                <w:color w:val="000000"/>
                <w:sz w:val="24"/>
                <w:szCs w:val="24"/>
                <w:u w:val="none"/>
                <w:lang w:val="en-US"/>
              </w:rPr>
            </w:pPr>
            <w:r>
              <w:rPr>
                <w:rFonts w:hint="eastAsia" w:ascii="仿宋_GB2312" w:hAnsi="仿宋_GB2312" w:eastAsia="仿宋_GB2312" w:cs="仿宋_GB2312"/>
                <w:i w:val="0"/>
                <w:color w:val="000000"/>
                <w:kern w:val="0"/>
                <w:sz w:val="24"/>
                <w:szCs w:val="24"/>
                <w:u w:val="none"/>
                <w:lang w:val="en-US" w:eastAsia="zh-CN" w:bidi="ar"/>
              </w:rPr>
              <w:t>324916</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返拨考试费用</w:t>
            </w:r>
          </w:p>
        </w:tc>
      </w:tr>
      <w:tr>
        <w:tblPrEx>
          <w:tblCellMar>
            <w:top w:w="0" w:type="dxa"/>
            <w:left w:w="0" w:type="dxa"/>
            <w:bottom w:w="0" w:type="dxa"/>
            <w:right w:w="0" w:type="dxa"/>
          </w:tblCellMar>
        </w:tblPrEx>
        <w:trPr>
          <w:trHeight w:val="500" w:hRule="atLeast"/>
        </w:trPr>
        <w:tc>
          <w:tcPr>
            <w:tcW w:w="52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合计（元）</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default"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1124916</w:t>
            </w:r>
          </w:p>
        </w:tc>
        <w:tc>
          <w:tcPr>
            <w:tcW w:w="21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60" w:lineRule="auto"/>
              <w:jc w:val="left"/>
              <w:rPr>
                <w:rFonts w:hint="eastAsia" w:ascii="仿宋_GB2312" w:hAnsi="仿宋_GB2312" w:eastAsia="仿宋_GB2312" w:cs="仿宋_GB2312"/>
                <w:i w:val="0"/>
                <w:color w:val="000000"/>
                <w:sz w:val="24"/>
                <w:szCs w:val="24"/>
                <w:u w:val="none"/>
              </w:rPr>
            </w:pPr>
          </w:p>
        </w:tc>
      </w:tr>
    </w:tbl>
    <w:p>
      <w:pPr>
        <w:keepNext w:val="0"/>
        <w:keepLines w:val="0"/>
        <w:pageBreakBefore w:val="0"/>
        <w:kinsoku/>
        <w:wordWrap/>
        <w:overflowPunct/>
        <w:topLinePunct w:val="0"/>
        <w:autoSpaceDE/>
        <w:autoSpaceDN/>
        <w:bidi w:val="0"/>
        <w:adjustRightInd/>
        <w:snapToGrid/>
        <w:spacing w:line="360" w:lineRule="auto"/>
        <w:ind w:firstLine="560" w:firstLineChars="200"/>
        <w:rPr>
          <w:rFonts w:ascii="宋体" w:cs="宋体"/>
          <w:sz w:val="28"/>
          <w:szCs w:val="28"/>
        </w:rPr>
      </w:pP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rPr>
          <w:rFonts w:hint="eastAsia" w:ascii="仿宋_GB2312" w:hAnsi="仿宋_GB2312" w:eastAsia="仿宋_GB2312" w:cs="仿宋_GB2312"/>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项目资金实际支出情况</w:t>
      </w:r>
    </w:p>
    <w:tbl>
      <w:tblPr>
        <w:tblStyle w:val="4"/>
        <w:tblW w:w="850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36"/>
        <w:gridCol w:w="3597"/>
        <w:gridCol w:w="1049"/>
        <w:gridCol w:w="994"/>
        <w:gridCol w:w="15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考试时间</w:t>
            </w:r>
          </w:p>
        </w:tc>
        <w:tc>
          <w:tcPr>
            <w:tcW w:w="3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考试内容</w:t>
            </w: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考生人数</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考试科次</w:t>
            </w:r>
          </w:p>
        </w:tc>
        <w:tc>
          <w:tcPr>
            <w:tcW w:w="1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b/>
                <w:bCs/>
                <w:i w:val="0"/>
                <w:iCs w:val="0"/>
                <w:color w:val="000000"/>
                <w:kern w:val="0"/>
                <w:sz w:val="24"/>
                <w:szCs w:val="24"/>
                <w:u w:val="none"/>
                <w:lang w:val="en-US" w:eastAsia="zh-CN" w:bidi="ar"/>
              </w:rPr>
            </w:pPr>
            <w:r>
              <w:rPr>
                <w:rFonts w:hint="eastAsia" w:ascii="仿宋_GB2312" w:hAnsi="仿宋_GB2312" w:eastAsia="仿宋_GB2312" w:cs="仿宋_GB2312"/>
                <w:b/>
                <w:bCs/>
                <w:i w:val="0"/>
                <w:iCs w:val="0"/>
                <w:color w:val="000000"/>
                <w:kern w:val="0"/>
                <w:sz w:val="24"/>
                <w:szCs w:val="24"/>
                <w:u w:val="none"/>
                <w:lang w:val="en-US" w:eastAsia="zh-CN" w:bidi="ar"/>
              </w:rPr>
              <w:t>考试费用</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b/>
                <w:bCs/>
                <w:i w:val="0"/>
                <w:iCs w:val="0"/>
                <w:color w:val="000000"/>
                <w:kern w:val="0"/>
                <w:sz w:val="24"/>
                <w:szCs w:val="24"/>
                <w:u w:val="none"/>
                <w:lang w:val="en-US" w:eastAsia="zh-CN" w:bidi="ar"/>
              </w:rPr>
            </w:pPr>
            <w:r>
              <w:rPr>
                <w:rFonts w:hint="eastAsia" w:ascii="仿宋_GB2312" w:hAnsi="仿宋_GB2312" w:eastAsia="仿宋_GB2312" w:cs="仿宋_GB2312"/>
                <w:b/>
                <w:bCs/>
                <w:i w:val="0"/>
                <w:iCs w:val="0"/>
                <w:color w:val="000000"/>
                <w:kern w:val="0"/>
                <w:sz w:val="24"/>
                <w:szCs w:val="24"/>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1月</w:t>
            </w:r>
          </w:p>
        </w:tc>
        <w:tc>
          <w:tcPr>
            <w:tcW w:w="3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普通高中学业水平考试</w:t>
            </w: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仿宋_GB2312" w:hAnsi="仿宋_GB2312" w:eastAsia="仿宋_GB2312" w:cs="仿宋_GB2312"/>
                <w:i w:val="0"/>
                <w:iCs w:val="0"/>
                <w:color w:val="000000"/>
                <w:sz w:val="24"/>
                <w:szCs w:val="24"/>
                <w:u w:val="none"/>
                <w:lang w:val="en-US" w:eastAsia="zh-CN"/>
              </w:rPr>
              <w:t>1739</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12</w:t>
            </w:r>
          </w:p>
        </w:tc>
        <w:tc>
          <w:tcPr>
            <w:tcW w:w="1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149800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3月</w:t>
            </w:r>
          </w:p>
        </w:tc>
        <w:tc>
          <w:tcPr>
            <w:tcW w:w="3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普通高考英语听说考试</w:t>
            </w: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727</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1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17500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3月</w:t>
            </w:r>
          </w:p>
        </w:tc>
        <w:tc>
          <w:tcPr>
            <w:tcW w:w="3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高中体育与健康考试</w:t>
            </w: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976</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1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7200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6月</w:t>
            </w:r>
          </w:p>
        </w:tc>
        <w:tc>
          <w:tcPr>
            <w:tcW w:w="3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普通高考招生考试</w:t>
            </w: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仿宋_GB2312" w:hAnsi="仿宋_GB2312" w:eastAsia="仿宋_GB2312" w:cs="仿宋_GB2312"/>
                <w:i w:val="0"/>
                <w:iCs w:val="0"/>
                <w:color w:val="000000"/>
                <w:sz w:val="24"/>
                <w:szCs w:val="24"/>
                <w:u w:val="none"/>
                <w:lang w:val="en-US" w:eastAsia="zh-CN"/>
              </w:rPr>
              <w:t>1015</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w:t>
            </w:r>
          </w:p>
        </w:tc>
        <w:tc>
          <w:tcPr>
            <w:tcW w:w="1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204560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7月</w:t>
            </w:r>
          </w:p>
        </w:tc>
        <w:tc>
          <w:tcPr>
            <w:tcW w:w="3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高中学业水平考试</w:t>
            </w: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1027</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1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57060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4月</w:t>
            </w:r>
          </w:p>
        </w:tc>
        <w:tc>
          <w:tcPr>
            <w:tcW w:w="3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初中英语听说考试</w:t>
            </w: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2302</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1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37840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4月</w:t>
            </w:r>
          </w:p>
        </w:tc>
        <w:tc>
          <w:tcPr>
            <w:tcW w:w="3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初中体育考试</w:t>
            </w: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2302</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1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76951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5月</w:t>
            </w:r>
          </w:p>
        </w:tc>
        <w:tc>
          <w:tcPr>
            <w:tcW w:w="3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初中物理化学生物实操考试</w:t>
            </w: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4866</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1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107200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6月</w:t>
            </w:r>
          </w:p>
        </w:tc>
        <w:tc>
          <w:tcPr>
            <w:tcW w:w="3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初中学业水平考试</w:t>
            </w: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4866</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w:t>
            </w:r>
          </w:p>
        </w:tc>
        <w:tc>
          <w:tcPr>
            <w:tcW w:w="1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308120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12月</w:t>
            </w:r>
          </w:p>
        </w:tc>
        <w:tc>
          <w:tcPr>
            <w:tcW w:w="3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初中音乐美术信息技术考试</w:t>
            </w: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2564</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1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25810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仿宋_GB2312" w:hAnsi="仿宋_GB2312" w:eastAsia="仿宋_GB2312" w:cs="仿宋_GB2312"/>
                <w:i w:val="0"/>
                <w:iCs w:val="0"/>
                <w:color w:val="000000"/>
                <w:sz w:val="24"/>
                <w:szCs w:val="24"/>
                <w:u w:val="none"/>
              </w:rPr>
            </w:pPr>
          </w:p>
        </w:tc>
        <w:tc>
          <w:tcPr>
            <w:tcW w:w="3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考试工具</w:t>
            </w: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仿宋_GB2312" w:hAnsi="仿宋_GB2312" w:eastAsia="仿宋_GB2312" w:cs="仿宋_GB2312"/>
                <w:i w:val="0"/>
                <w:iCs w:val="0"/>
                <w:color w:val="000000"/>
                <w:sz w:val="24"/>
                <w:szCs w:val="24"/>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仿宋_GB2312" w:hAnsi="仿宋_GB2312" w:eastAsia="仿宋_GB2312" w:cs="仿宋_GB2312"/>
                <w:i w:val="0"/>
                <w:iCs w:val="0"/>
                <w:color w:val="000000"/>
                <w:sz w:val="24"/>
                <w:szCs w:val="24"/>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sz w:val="24"/>
                <w:szCs w:val="24"/>
                <w:u w:val="none"/>
                <w:lang w:val="en-US"/>
              </w:rPr>
            </w:pPr>
            <w:r>
              <w:rPr>
                <w:rFonts w:hint="eastAsia" w:ascii="仿宋_GB2312" w:hAnsi="仿宋_GB2312" w:eastAsia="仿宋_GB2312" w:cs="仿宋_GB2312"/>
                <w:i w:val="0"/>
                <w:iCs w:val="0"/>
                <w:color w:val="000000"/>
                <w:kern w:val="0"/>
                <w:sz w:val="24"/>
                <w:szCs w:val="24"/>
                <w:u w:val="none"/>
                <w:lang w:val="en-US" w:eastAsia="zh-CN" w:bidi="ar"/>
              </w:rPr>
              <w:t>132875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仿宋_GB2312" w:hAnsi="仿宋_GB2312" w:eastAsia="仿宋_GB2312" w:cs="仿宋_GB2312"/>
                <w:i w:val="0"/>
                <w:iCs w:val="0"/>
                <w:color w:val="000000"/>
                <w:sz w:val="24"/>
                <w:szCs w:val="24"/>
                <w:u w:val="none"/>
              </w:rPr>
            </w:pPr>
          </w:p>
        </w:tc>
        <w:tc>
          <w:tcPr>
            <w:tcW w:w="3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合计</w:t>
            </w: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仿宋_GB2312" w:hAnsi="仿宋_GB2312" w:eastAsia="仿宋_GB2312" w:cs="仿宋_GB2312"/>
                <w:i w:val="0"/>
                <w:iCs w:val="0"/>
                <w:color w:val="000000"/>
                <w:sz w:val="24"/>
                <w:szCs w:val="24"/>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仿宋_GB2312" w:hAnsi="仿宋_GB2312" w:eastAsia="仿宋_GB2312" w:cs="仿宋_GB2312"/>
                <w:i w:val="0"/>
                <w:iCs w:val="0"/>
                <w:color w:val="000000"/>
                <w:sz w:val="24"/>
                <w:szCs w:val="24"/>
                <w:u w:val="none"/>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1124916</w:t>
            </w:r>
          </w:p>
        </w:tc>
      </w:tr>
    </w:tbl>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rPr>
          <w:rFonts w:hint="eastAsia" w:ascii="宋体" w:hAnsi="宋体" w:cs="宋体"/>
          <w:sz w:val="28"/>
          <w:szCs w:val="28"/>
        </w:rPr>
      </w:pP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项目的绩效目标完成情况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达到预期建设目的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调动了广大监考员、考试工作人员的积极性，提高了工作效率，切实保障考试招生机会公平、程序公开、结果公正，考生满意度提高，实现平安考试目标。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项目资金使用效益，对环境、经济、社会的可持续影响</w:t>
      </w:r>
      <w:bookmarkStart w:id="0" w:name="_GoBack"/>
      <w:bookmarkEnd w:id="0"/>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项目资金使用达到预期，在既定期限内完成高考和中考监考费的支付。确保教育统一考试顺利进行，为办人民满意教育提供有力保障。</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三、改进意见</w:t>
      </w:r>
    </w:p>
    <w:p>
      <w:pPr>
        <w:keepNext w:val="0"/>
        <w:keepLines w:val="0"/>
        <w:pageBreakBefore w:val="0"/>
        <w:kinsoku/>
        <w:wordWrap/>
        <w:overflowPunct/>
        <w:topLinePunct w:val="0"/>
        <w:autoSpaceDE/>
        <w:autoSpaceDN/>
        <w:bidi w:val="0"/>
        <w:adjustRightInd/>
        <w:snapToGrid/>
        <w:spacing w:line="360" w:lineRule="auto"/>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kinsoku/>
        <w:wordWrap/>
        <w:overflowPunct/>
        <w:topLinePunct w:val="0"/>
        <w:autoSpaceDE/>
        <w:autoSpaceDN/>
        <w:bidi w:val="0"/>
        <w:adjustRightInd/>
        <w:snapToGrid/>
        <w:spacing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其他需要说明的情况</w:t>
      </w:r>
    </w:p>
    <w:p>
      <w:pPr>
        <w:keepNext w:val="0"/>
        <w:keepLines w:val="0"/>
        <w:pageBreakBefore w:val="0"/>
        <w:kinsoku/>
        <w:wordWrap/>
        <w:overflowPunct/>
        <w:topLinePunct w:val="0"/>
        <w:autoSpaceDE/>
        <w:autoSpaceDN/>
        <w:bidi w:val="0"/>
        <w:adjustRightInd/>
        <w:snapToGrid/>
        <w:spacing w:line="360" w:lineRule="auto"/>
        <w:ind w:firstLine="645"/>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初中考生数从</w:t>
      </w: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lang w:eastAsia="zh-CN"/>
        </w:rPr>
        <w:t>逐年增加约</w:t>
      </w:r>
      <w:r>
        <w:rPr>
          <w:rFonts w:hint="eastAsia" w:ascii="仿宋_GB2312" w:hAnsi="仿宋_GB2312" w:eastAsia="仿宋_GB2312" w:cs="仿宋_GB2312"/>
          <w:sz w:val="32"/>
          <w:szCs w:val="32"/>
          <w:lang w:val="en-US" w:eastAsia="zh-CN"/>
        </w:rPr>
        <w:t>200人，现有考试经费需要按照考生增加情况给予增加。</w:t>
      </w:r>
    </w:p>
    <w:p>
      <w:pPr>
        <w:keepNext w:val="0"/>
        <w:keepLines w:val="0"/>
        <w:pageBreakBefore w:val="0"/>
        <w:widowControl/>
        <w:kinsoku/>
        <w:wordWrap/>
        <w:overflowPunct/>
        <w:topLinePunct w:val="0"/>
        <w:autoSpaceDE/>
        <w:autoSpaceDN/>
        <w:bidi w:val="0"/>
        <w:adjustRightInd/>
        <w:snapToGrid/>
        <w:spacing w:line="360" w:lineRule="auto"/>
        <w:ind w:firstLine="652" w:firstLineChars="204"/>
        <w:jc w:val="right"/>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360" w:lineRule="auto"/>
        <w:ind w:firstLine="652" w:firstLineChars="204"/>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乳源瑶族自治县招生考试中心</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A00002BF" w:usb1="184F6CFA" w:usb2="00000012" w:usb3="00000000" w:csb0="00040001" w:csb1="00000000"/>
  </w:font>
  <w:font w:name="BatangChe">
    <w:panose1 w:val="02030609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g2ZDk5OGI5ZTUwZjU2MTk4MWM1ZDU1ZWJlOGUwODMifQ=="/>
  </w:docVars>
  <w:rsids>
    <w:rsidRoot w:val="00F22CA7"/>
    <w:rsid w:val="000560B1"/>
    <w:rsid w:val="0007067A"/>
    <w:rsid w:val="000C4B61"/>
    <w:rsid w:val="00137C87"/>
    <w:rsid w:val="00152ED7"/>
    <w:rsid w:val="00182223"/>
    <w:rsid w:val="001B0869"/>
    <w:rsid w:val="002C4AD5"/>
    <w:rsid w:val="00306E8C"/>
    <w:rsid w:val="003A76CA"/>
    <w:rsid w:val="003B25CA"/>
    <w:rsid w:val="003E2C1A"/>
    <w:rsid w:val="00437608"/>
    <w:rsid w:val="0044194A"/>
    <w:rsid w:val="004903E7"/>
    <w:rsid w:val="004C7DFE"/>
    <w:rsid w:val="00534213"/>
    <w:rsid w:val="00540253"/>
    <w:rsid w:val="005429BB"/>
    <w:rsid w:val="00544C41"/>
    <w:rsid w:val="00554C79"/>
    <w:rsid w:val="0057649E"/>
    <w:rsid w:val="005B193D"/>
    <w:rsid w:val="005B6C7A"/>
    <w:rsid w:val="00651825"/>
    <w:rsid w:val="00694B68"/>
    <w:rsid w:val="006A42A5"/>
    <w:rsid w:val="006A4E9F"/>
    <w:rsid w:val="006E5084"/>
    <w:rsid w:val="006F6EA7"/>
    <w:rsid w:val="00757303"/>
    <w:rsid w:val="00766CDF"/>
    <w:rsid w:val="00792DE8"/>
    <w:rsid w:val="007C430C"/>
    <w:rsid w:val="007C4C2F"/>
    <w:rsid w:val="00815509"/>
    <w:rsid w:val="00822A58"/>
    <w:rsid w:val="00855735"/>
    <w:rsid w:val="008632D3"/>
    <w:rsid w:val="0087074D"/>
    <w:rsid w:val="008A3AD0"/>
    <w:rsid w:val="0091555C"/>
    <w:rsid w:val="00916C35"/>
    <w:rsid w:val="009210C7"/>
    <w:rsid w:val="009311C3"/>
    <w:rsid w:val="009553ED"/>
    <w:rsid w:val="009C0B68"/>
    <w:rsid w:val="009C14D0"/>
    <w:rsid w:val="00AD06A3"/>
    <w:rsid w:val="00AF0CE3"/>
    <w:rsid w:val="00B1669C"/>
    <w:rsid w:val="00B84E19"/>
    <w:rsid w:val="00B934B8"/>
    <w:rsid w:val="00C022FE"/>
    <w:rsid w:val="00C11478"/>
    <w:rsid w:val="00C2013D"/>
    <w:rsid w:val="00C83051"/>
    <w:rsid w:val="00CE3D02"/>
    <w:rsid w:val="00D012FD"/>
    <w:rsid w:val="00D775DE"/>
    <w:rsid w:val="00DD04EA"/>
    <w:rsid w:val="00E34B6F"/>
    <w:rsid w:val="00E409B6"/>
    <w:rsid w:val="00ED15AD"/>
    <w:rsid w:val="00EE444F"/>
    <w:rsid w:val="00F22CA7"/>
    <w:rsid w:val="00F5076B"/>
    <w:rsid w:val="00F554FD"/>
    <w:rsid w:val="00F95CF7"/>
    <w:rsid w:val="00FB3B18"/>
    <w:rsid w:val="00FE1090"/>
    <w:rsid w:val="00FF0905"/>
    <w:rsid w:val="015F1083"/>
    <w:rsid w:val="01CB165A"/>
    <w:rsid w:val="103A1729"/>
    <w:rsid w:val="152D0DAA"/>
    <w:rsid w:val="1BEA0FB0"/>
    <w:rsid w:val="1D901B82"/>
    <w:rsid w:val="2A0C3112"/>
    <w:rsid w:val="3E1C676D"/>
    <w:rsid w:val="41F93AF7"/>
    <w:rsid w:val="468762A1"/>
    <w:rsid w:val="4EC247D8"/>
    <w:rsid w:val="61B418DA"/>
    <w:rsid w:val="66D500F5"/>
    <w:rsid w:val="670978A1"/>
    <w:rsid w:val="67BC13B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semiHidden/>
    <w:qFormat/>
    <w:uiPriority w:val="99"/>
    <w:pPr>
      <w:tabs>
        <w:tab w:val="center" w:pos="4153"/>
        <w:tab w:val="right" w:pos="8306"/>
      </w:tabs>
      <w:snapToGrid w:val="0"/>
      <w:jc w:val="left"/>
    </w:pPr>
    <w:rPr>
      <w:sz w:val="18"/>
      <w:szCs w:val="18"/>
    </w:rPr>
  </w:style>
  <w:style w:type="paragraph" w:styleId="3">
    <w:name w:val="header"/>
    <w:basedOn w:val="1"/>
    <w:link w:val="7"/>
    <w:autoRedefine/>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locked/>
    <w:uiPriority w:val="99"/>
    <w:rPr>
      <w:rFonts w:ascii="Times New Roman" w:hAnsi="Times New Roman" w:eastAsia="宋体" w:cs="Times New Roman"/>
      <w:sz w:val="18"/>
      <w:szCs w:val="18"/>
    </w:rPr>
  </w:style>
  <w:style w:type="character" w:customStyle="1" w:styleId="7">
    <w:name w:val="页眉 Char"/>
    <w:basedOn w:val="5"/>
    <w:link w:val="3"/>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1085F1-8AD8-415C-9110-5BF9BCD703C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973</Words>
  <Characters>1128</Characters>
  <Lines>5</Lines>
  <Paragraphs>1</Paragraphs>
  <TotalTime>7</TotalTime>
  <ScaleCrop>false</ScaleCrop>
  <LinksUpToDate>false</LinksUpToDate>
  <CharactersWithSpaces>1180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2020-03-20T02:56:00Z</dcterms:created>
  <dc:creator>lenovo</dc:creator>
  <cp:lastModifiedBy>恩雄</cp:lastModifiedBy>
  <cp:lastPrinted>2020-03-20T02:32:00Z</cp:lastPrinted>
  <dcterms:modified xsi:type="dcterms:W3CDTF">2024-03-20T06:59:14Z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33C3243A11AF41F7B4768FDFD09FCC57_12</vt:lpwstr>
  </property>
</Properties>
</file>