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pacing w:line="240" w:lineRule="auto"/>
        <w:jc w:val="center"/>
        <w:textAlignment w:val="auto"/>
        <w:rPr>
          <w:rFonts w:ascii="宋体" w:hAnsi="宋体" w:eastAsia="宋体"/>
          <w:b/>
          <w:kern w:val="2"/>
          <w:sz w:val="36"/>
          <w:szCs w:val="36"/>
        </w:rPr>
      </w:pPr>
      <w:bookmarkStart w:id="0" w:name="_GoBack"/>
      <w:bookmarkEnd w:id="0"/>
      <w:r>
        <w:rPr>
          <w:rFonts w:hint="eastAsia" w:ascii="宋体" w:hAnsi="宋体" w:eastAsia="宋体"/>
          <w:b/>
          <w:kern w:val="2"/>
          <w:sz w:val="36"/>
          <w:szCs w:val="36"/>
        </w:rPr>
        <w:t>财政支出项目绩效自评报告（用款单位）</w:t>
      </w:r>
    </w:p>
    <w:p>
      <w:pPr>
        <w:adjustRightInd/>
        <w:spacing w:line="360" w:lineRule="auto"/>
        <w:textAlignment w:val="auto"/>
        <w:rPr>
          <w:rFonts w:hint="eastAsia" w:ascii="黑体" w:eastAsia="黑体"/>
          <w:kern w:val="2"/>
          <w:sz w:val="32"/>
          <w:szCs w:val="32"/>
        </w:rPr>
      </w:pPr>
    </w:p>
    <w:p>
      <w:pPr>
        <w:adjustRightInd/>
        <w:spacing w:line="360" w:lineRule="auto"/>
        <w:ind w:firstLine="640" w:firstLineChars="200"/>
        <w:textAlignment w:val="auto"/>
        <w:rPr>
          <w:rFonts w:ascii="黑体" w:eastAsia="黑体"/>
          <w:kern w:val="2"/>
          <w:sz w:val="32"/>
          <w:szCs w:val="32"/>
        </w:rPr>
      </w:pPr>
      <w:r>
        <w:rPr>
          <w:rFonts w:hint="eastAsia" w:ascii="黑体" w:eastAsia="黑体"/>
          <w:kern w:val="2"/>
          <w:sz w:val="32"/>
          <w:szCs w:val="32"/>
        </w:rPr>
        <w:t>一、项目基本情况及自评结论</w:t>
      </w:r>
    </w:p>
    <w:p>
      <w:pPr>
        <w:adjustRightInd/>
        <w:spacing w:line="360" w:lineRule="auto"/>
        <w:ind w:firstLine="640" w:firstLineChars="200"/>
        <w:textAlignment w:val="auto"/>
        <w:rPr>
          <w:rFonts w:ascii="黑体" w:eastAsia="黑体"/>
          <w:kern w:val="2"/>
          <w:sz w:val="32"/>
          <w:szCs w:val="32"/>
        </w:rPr>
      </w:pPr>
      <w:r>
        <w:rPr>
          <w:rFonts w:hint="eastAsia" w:ascii="仿宋_GB2312" w:eastAsia="仿宋_GB2312"/>
          <w:kern w:val="2"/>
          <w:sz w:val="32"/>
          <w:szCs w:val="32"/>
        </w:rPr>
        <w:t>（一）项目用款单位简要情况。</w:t>
      </w:r>
    </w:p>
    <w:p>
      <w:pPr>
        <w:ind w:firstLine="640" w:firstLineChars="200"/>
        <w:rPr>
          <w:rFonts w:hint="eastAsia"/>
        </w:rPr>
      </w:pPr>
      <w:r>
        <w:rPr>
          <w:rFonts w:hint="eastAsia"/>
        </w:rPr>
        <w:t>为贯彻党的十八届三中全会关于建立全社会信用数据统一平台的决策部署，落实《国务院关于印发社会信用体系建设规划纲要（2014-2020年）的通知》（国发〔2014〕21号）有关要求，市政府高度重视社会信用体系建设，于2015年1月印发了《韶关市社会信用体系建设规划（2014-2020年）》，明确要求建设公共信用信息管理系统。2018年12月，根据《国家发展改革委关于加强全国信用信息共享平台一体化建设和信用门户网站一体化建设的指导意见》（发改财金〔2017〕714号）的精神，</w:t>
      </w:r>
      <w:r>
        <w:rPr>
          <w:rFonts w:hint="eastAsia"/>
          <w:lang w:eastAsia="zh-CN"/>
        </w:rPr>
        <w:t>县</w:t>
      </w:r>
      <w:r>
        <w:rPr>
          <w:rFonts w:hint="eastAsia"/>
        </w:rPr>
        <w:t>发改局完成了公共信用信息管理系统</w:t>
      </w:r>
      <w:r>
        <w:rPr>
          <w:rFonts w:hint="eastAsia"/>
          <w:lang w:eastAsia="zh-CN"/>
        </w:rPr>
        <w:t>搭建</w:t>
      </w:r>
      <w:r>
        <w:rPr>
          <w:rFonts w:hint="eastAsia"/>
        </w:rPr>
        <w:t>，将系统和网站统一更名为“全国信用信息共享平台（广东</w:t>
      </w:r>
      <w:r>
        <w:rPr>
          <w:rFonts w:hint="eastAsia"/>
          <w:lang w:eastAsia="zh-CN"/>
        </w:rPr>
        <w:t>乳源</w:t>
      </w:r>
      <w:r>
        <w:rPr>
          <w:rFonts w:hint="eastAsia"/>
        </w:rPr>
        <w:t>）”和“信用中国（广东</w:t>
      </w:r>
      <w:r>
        <w:rPr>
          <w:rFonts w:hint="eastAsia"/>
          <w:lang w:eastAsia="zh-CN"/>
        </w:rPr>
        <w:t>乳源</w:t>
      </w:r>
      <w:r>
        <w:rPr>
          <w:rFonts w:hint="eastAsia"/>
        </w:rPr>
        <w:t>）”，并建设了韶关市联合奖惩子系统，有效支撑信用联合奖惩和事中事后协同监管。2020年，根据国家公共信用信息中心《关于印发&lt;全国信用信息共享平台信用信息归集目录（2019年版）&gt;的通知》（国信用字〔2019〕9号）、广东省发展和改革委 广东省政务服务数据管理局《关于做好全省信用信息归集工作的通知》（粵发改信用函〔2019〕3898号），制定出台全国统一的信用信息归集目录及数据标准。</w:t>
      </w:r>
      <w:r>
        <w:rPr>
          <w:rFonts w:hint="eastAsia"/>
          <w:lang w:eastAsia="zh-CN"/>
        </w:rPr>
        <w:t>县</w:t>
      </w:r>
      <w:r>
        <w:rPr>
          <w:rFonts w:hint="eastAsia"/>
        </w:rPr>
        <w:t>发改局严格按照新版标准，逐步完善相关信息系统，畅通数据归集渠道，不断优化公示内容，确保信用信息共享平台的正常运行。</w:t>
      </w:r>
    </w:p>
    <w:p>
      <w:pPr>
        <w:numPr>
          <w:ilvl w:val="0"/>
          <w:numId w:val="1"/>
        </w:numPr>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ind w:firstLine="640"/>
        <w:rPr>
          <w:rFonts w:hint="eastAsia" w:ascii="仿宋_GB2312"/>
          <w:sz w:val="32"/>
          <w:szCs w:val="32"/>
          <w:lang w:val="en-US" w:eastAsia="zh-CN"/>
        </w:rPr>
      </w:pPr>
      <w:r>
        <w:rPr>
          <w:rFonts w:hint="eastAsia" w:ascii="仿宋_GB2312"/>
          <w:sz w:val="32"/>
          <w:szCs w:val="32"/>
          <w:lang w:val="en-US" w:eastAsia="zh-CN"/>
        </w:rPr>
        <w:t>“双公示”信用信息归集和公示工作是历年国家“双公示”评估检查的重要内容、信用信息目录编制和信用数据挂接是“法治广东”考核指标，平台售后运维服务已于2021年底到期的实际，为保证信用信息平台和信用网站的持续、稳定、可靠安全地运行，有效支撑政务部门开展基于信用的监管、服务和守信联合激励、失信联合惩戒工作落地实施，有必要继续对我市信用信息共享平台和信用网站实施长期的运行维护服务。</w:t>
      </w:r>
    </w:p>
    <w:p>
      <w:pPr>
        <w:numPr>
          <w:ilvl w:val="0"/>
          <w:numId w:val="1"/>
        </w:numPr>
        <w:ind w:left="0" w:leftChars="0" w:firstLine="640" w:firstLineChars="200"/>
        <w:rPr>
          <w:rFonts w:hint="default" w:ascii="仿宋_GB2312"/>
          <w:sz w:val="32"/>
          <w:szCs w:val="32"/>
          <w:lang w:val="en-US" w:eastAsia="zh-CN"/>
        </w:rPr>
      </w:pPr>
      <w:r>
        <w:rPr>
          <w:rFonts w:hint="default" w:ascii="仿宋_GB2312"/>
          <w:sz w:val="32"/>
          <w:szCs w:val="32"/>
          <w:lang w:val="en-US" w:eastAsia="zh-CN"/>
        </w:rPr>
        <w:t>综述项目自评等级和分数，并对照佐证材料逐一分析。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仿宋_GB2312" w:cs="楷体_GB2312"/>
          <w:sz w:val="32"/>
          <w:szCs w:val="32"/>
          <w:lang w:val="en-US" w:eastAsia="zh-CN"/>
        </w:rPr>
      </w:pPr>
      <w:r>
        <w:rPr>
          <w:rFonts w:hint="eastAsia" w:ascii="仿宋_GB2312" w:eastAsia="仿宋_GB2312"/>
          <w:sz w:val="32"/>
          <w:szCs w:val="32"/>
          <w:lang w:eastAsia="zh-CN"/>
        </w:rPr>
        <w:t>自评得分：</w:t>
      </w:r>
      <w:r>
        <w:rPr>
          <w:rFonts w:hint="eastAsia" w:ascii="仿宋_GB2312" w:eastAsia="仿宋_GB2312"/>
          <w:sz w:val="32"/>
          <w:szCs w:val="32"/>
          <w:lang w:val="en-US" w:eastAsia="zh-CN"/>
        </w:rPr>
        <w:t>100分，</w:t>
      </w:r>
      <w:r>
        <w:rPr>
          <w:rFonts w:hint="eastAsia" w:ascii="仿宋_GB2312" w:eastAsia="仿宋_GB2312"/>
          <w:sz w:val="32"/>
          <w:szCs w:val="32"/>
        </w:rPr>
        <w:t>自评等级为优</w:t>
      </w:r>
      <w:r>
        <w:rPr>
          <w:rFonts w:hint="eastAsia" w:ascii="仿宋_GB2312" w:eastAsia="仿宋_GB2312"/>
          <w:sz w:val="32"/>
          <w:szCs w:val="32"/>
          <w:lang w:eastAsia="zh-CN"/>
        </w:rPr>
        <w:t>。</w:t>
      </w:r>
    </w:p>
    <w:p>
      <w:pPr>
        <w:numPr>
          <w:ilvl w:val="0"/>
          <w:numId w:val="0"/>
        </w:numPr>
        <w:ind w:firstLine="640" w:firstLineChars="200"/>
        <w:rPr>
          <w:rFonts w:hint="default" w:ascii="仿宋_GB2312"/>
          <w:sz w:val="32"/>
          <w:szCs w:val="32"/>
          <w:lang w:val="en-US" w:eastAsia="zh-CN"/>
        </w:rPr>
      </w:pPr>
      <w:r>
        <w:rPr>
          <w:rFonts w:hint="default" w:ascii="仿宋_GB2312"/>
          <w:sz w:val="32"/>
          <w:szCs w:val="32"/>
          <w:lang w:val="en-US" w:eastAsia="zh-CN"/>
        </w:rPr>
        <w:t>按照广东省公共信用信息管理系统的总体规范标准要求，结合我</w:t>
      </w:r>
      <w:r>
        <w:rPr>
          <w:rFonts w:hint="eastAsia" w:ascii="仿宋_GB2312"/>
          <w:sz w:val="32"/>
          <w:szCs w:val="32"/>
          <w:lang w:val="en-US" w:eastAsia="zh-CN"/>
        </w:rPr>
        <w:t>县</w:t>
      </w:r>
      <w:r>
        <w:rPr>
          <w:rFonts w:hint="default" w:ascii="仿宋_GB2312"/>
          <w:sz w:val="32"/>
          <w:szCs w:val="32"/>
          <w:lang w:val="en-US" w:eastAsia="zh-CN"/>
        </w:rPr>
        <w:t>实际情况，建立一套符合省标准、市要求的公共信用信息管理系统。系统主要由一套信用目录体系，一张网，两个数据处理平台，两个应用服务系统，四个公共信用信息数据库及相关的基础设施和标准规范组成。具体应用如下：</w:t>
      </w:r>
    </w:p>
    <w:p>
      <w:pPr>
        <w:numPr>
          <w:ilvl w:val="0"/>
          <w:numId w:val="0"/>
        </w:numPr>
        <w:ind w:firstLine="640" w:firstLineChars="200"/>
        <w:rPr>
          <w:rFonts w:hint="default" w:ascii="仿宋_GB2312"/>
          <w:sz w:val="32"/>
          <w:szCs w:val="32"/>
          <w:lang w:val="en-US" w:eastAsia="zh-CN"/>
        </w:rPr>
      </w:pPr>
      <w:r>
        <w:rPr>
          <w:rFonts w:hint="default" w:ascii="仿宋_GB2312"/>
          <w:sz w:val="32"/>
          <w:szCs w:val="32"/>
          <w:lang w:val="en-US" w:eastAsia="zh-CN"/>
        </w:rPr>
        <w:t>1、信用信息的归集。包括数据归集、绩效考核、数据比对、数据清洗、数据存储等。</w:t>
      </w:r>
    </w:p>
    <w:p>
      <w:pPr>
        <w:numPr>
          <w:ilvl w:val="0"/>
          <w:numId w:val="0"/>
        </w:numPr>
        <w:ind w:firstLine="640" w:firstLineChars="200"/>
        <w:rPr>
          <w:rFonts w:hint="default" w:ascii="仿宋_GB2312"/>
          <w:sz w:val="32"/>
          <w:szCs w:val="32"/>
          <w:lang w:val="en-US" w:eastAsia="zh-CN"/>
        </w:rPr>
      </w:pPr>
      <w:r>
        <w:rPr>
          <w:rFonts w:hint="default" w:ascii="仿宋_GB2312"/>
          <w:sz w:val="32"/>
          <w:szCs w:val="32"/>
          <w:lang w:val="en-US" w:eastAsia="zh-CN"/>
        </w:rPr>
        <w:t>2、信用数据的分发。包括信用数据分发、与省系统信用信息互联互通等。</w:t>
      </w:r>
    </w:p>
    <w:p>
      <w:pPr>
        <w:numPr>
          <w:ilvl w:val="0"/>
          <w:numId w:val="0"/>
        </w:numPr>
        <w:ind w:firstLine="640" w:firstLineChars="200"/>
        <w:rPr>
          <w:rFonts w:hint="default" w:ascii="仿宋_GB2312"/>
          <w:sz w:val="32"/>
          <w:szCs w:val="32"/>
          <w:lang w:val="en-US" w:eastAsia="zh-CN"/>
        </w:rPr>
      </w:pPr>
      <w:r>
        <w:rPr>
          <w:rFonts w:hint="default" w:ascii="仿宋_GB2312"/>
          <w:sz w:val="32"/>
          <w:szCs w:val="32"/>
          <w:lang w:val="en-US" w:eastAsia="zh-CN"/>
        </w:rPr>
        <w:t>3、信用中国（广东</w:t>
      </w:r>
      <w:r>
        <w:rPr>
          <w:rFonts w:hint="eastAsia" w:ascii="仿宋_GB2312"/>
          <w:sz w:val="32"/>
          <w:szCs w:val="32"/>
          <w:lang w:val="en-US" w:eastAsia="zh-CN"/>
        </w:rPr>
        <w:t>乳源</w:t>
      </w:r>
      <w:r>
        <w:rPr>
          <w:rFonts w:hint="default" w:ascii="仿宋_GB2312"/>
          <w:sz w:val="32"/>
          <w:szCs w:val="32"/>
          <w:lang w:val="en-US" w:eastAsia="zh-CN"/>
        </w:rPr>
        <w:t>）建设。包括信用信息发布、信用信息查询、信用信息交流互动、网站安全监控管理、后台管理等。</w:t>
      </w:r>
    </w:p>
    <w:p>
      <w:pPr>
        <w:numPr>
          <w:ilvl w:val="0"/>
          <w:numId w:val="0"/>
        </w:numPr>
        <w:ind w:firstLine="640" w:firstLineChars="200"/>
        <w:rPr>
          <w:rFonts w:hint="default" w:ascii="仿宋_GB2312"/>
          <w:sz w:val="32"/>
          <w:szCs w:val="32"/>
          <w:lang w:val="en-US" w:eastAsia="zh-CN"/>
        </w:rPr>
      </w:pPr>
      <w:r>
        <w:rPr>
          <w:rFonts w:hint="default" w:ascii="仿宋_GB2312"/>
          <w:sz w:val="32"/>
          <w:szCs w:val="32"/>
          <w:lang w:val="en-US" w:eastAsia="zh-CN"/>
        </w:rPr>
        <w:t>4、“七天双公示”系统管理。包括双公示目录管理、数据库建设、目录梳理结果出版、专栏信息配置、工作监察报表、外网公示专栏更新等。</w:t>
      </w:r>
    </w:p>
    <w:p>
      <w:pPr>
        <w:numPr>
          <w:ilvl w:val="0"/>
          <w:numId w:val="0"/>
        </w:numPr>
        <w:ind w:firstLine="640" w:firstLineChars="200"/>
        <w:rPr>
          <w:rFonts w:hint="default" w:ascii="仿宋_GB2312"/>
          <w:sz w:val="32"/>
          <w:szCs w:val="32"/>
          <w:lang w:val="en-US" w:eastAsia="zh-CN"/>
        </w:rPr>
      </w:pPr>
      <w:r>
        <w:rPr>
          <w:rFonts w:hint="default" w:ascii="仿宋_GB2312"/>
          <w:sz w:val="32"/>
          <w:szCs w:val="32"/>
          <w:lang w:val="en-US" w:eastAsia="zh-CN"/>
        </w:rPr>
        <w:t>5、应用支撑系统功能管理。包括用户管理、角色管理、菜单管理、安全管理、数据接口管理、数据备份管理、任务调度管理、系统日志管理等。</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numPr>
          <w:ilvl w:val="0"/>
          <w:numId w:val="0"/>
        </w:numPr>
        <w:ind w:firstLine="640" w:firstLineChars="200"/>
        <w:rPr>
          <w:rFonts w:hint="default" w:ascii="仿宋_GB2312"/>
          <w:sz w:val="32"/>
          <w:szCs w:val="32"/>
          <w:lang w:val="en-US" w:eastAsia="zh-CN"/>
        </w:rPr>
      </w:pPr>
      <w:r>
        <w:rPr>
          <w:rFonts w:hint="default" w:ascii="仿宋_GB2312"/>
          <w:sz w:val="32"/>
          <w:szCs w:val="32"/>
          <w:lang w:val="en-US" w:eastAsia="zh-CN"/>
        </w:rPr>
        <w:t>1、项目资金实际总投入情况。</w:t>
      </w:r>
    </w:p>
    <w:p>
      <w:pPr>
        <w:numPr>
          <w:ilvl w:val="0"/>
          <w:numId w:val="0"/>
        </w:numPr>
        <w:ind w:firstLine="640" w:firstLineChars="200"/>
        <w:rPr>
          <w:rFonts w:hint="default" w:ascii="仿宋_GB2312"/>
          <w:sz w:val="32"/>
          <w:szCs w:val="32"/>
          <w:lang w:val="en-US" w:eastAsia="zh-CN"/>
        </w:rPr>
      </w:pPr>
      <w:r>
        <w:rPr>
          <w:rFonts w:hint="eastAsia" w:ascii="仿宋_GB2312"/>
          <w:sz w:val="32"/>
          <w:szCs w:val="32"/>
          <w:lang w:val="en-US" w:eastAsia="zh-CN"/>
        </w:rPr>
        <w:t>年初部门预算：</w:t>
      </w:r>
      <w:r>
        <w:rPr>
          <w:rFonts w:hint="default" w:ascii="仿宋_GB2312"/>
          <w:sz w:val="32"/>
          <w:szCs w:val="32"/>
          <w:lang w:val="en-US" w:eastAsia="zh-CN"/>
        </w:rPr>
        <w:t>平台运维服务费</w:t>
      </w:r>
      <w:r>
        <w:rPr>
          <w:rFonts w:hint="eastAsia" w:ascii="仿宋_GB2312"/>
          <w:sz w:val="32"/>
          <w:szCs w:val="32"/>
          <w:lang w:val="en-US" w:eastAsia="zh-CN"/>
        </w:rPr>
        <w:t>6</w:t>
      </w:r>
      <w:r>
        <w:rPr>
          <w:rFonts w:hint="default" w:ascii="仿宋_GB2312"/>
          <w:sz w:val="32"/>
          <w:szCs w:val="32"/>
          <w:lang w:val="en-US" w:eastAsia="zh-CN"/>
        </w:rPr>
        <w:t>万元。</w:t>
      </w:r>
    </w:p>
    <w:p>
      <w:pPr>
        <w:numPr>
          <w:ilvl w:val="0"/>
          <w:numId w:val="2"/>
        </w:numPr>
        <w:ind w:firstLine="640" w:firstLineChars="200"/>
        <w:rPr>
          <w:rFonts w:hint="default" w:ascii="仿宋_GB2312"/>
          <w:sz w:val="32"/>
          <w:szCs w:val="32"/>
          <w:lang w:val="en-US" w:eastAsia="zh-CN"/>
        </w:rPr>
      </w:pPr>
      <w:r>
        <w:rPr>
          <w:rFonts w:hint="default" w:ascii="仿宋_GB2312"/>
          <w:sz w:val="32"/>
          <w:szCs w:val="32"/>
          <w:lang w:val="en-US" w:eastAsia="zh-CN"/>
        </w:rPr>
        <w:t>项目资金实际支出情况</w:t>
      </w:r>
      <w:r>
        <w:rPr>
          <w:rFonts w:hint="eastAsia" w:ascii="仿宋_GB2312"/>
          <w:sz w:val="32"/>
          <w:szCs w:val="32"/>
          <w:lang w:val="en-US" w:eastAsia="zh-CN"/>
        </w:rPr>
        <w:t>。</w:t>
      </w:r>
    </w:p>
    <w:p>
      <w:pPr>
        <w:numPr>
          <w:ilvl w:val="0"/>
          <w:numId w:val="0"/>
        </w:numPr>
        <w:ind w:firstLine="640" w:firstLineChars="200"/>
        <w:rPr>
          <w:rFonts w:hint="default" w:ascii="仿宋_GB2312"/>
          <w:sz w:val="32"/>
          <w:szCs w:val="32"/>
          <w:lang w:val="en-US" w:eastAsia="zh-CN"/>
        </w:rPr>
      </w:pPr>
      <w:r>
        <w:rPr>
          <w:rFonts w:hint="eastAsia" w:ascii="仿宋_GB2312"/>
          <w:sz w:val="32"/>
          <w:szCs w:val="32"/>
          <w:lang w:val="en-US" w:eastAsia="zh-CN"/>
        </w:rPr>
        <w:t>实际支付</w:t>
      </w:r>
      <w:r>
        <w:rPr>
          <w:rFonts w:hint="default" w:ascii="仿宋_GB2312"/>
          <w:sz w:val="32"/>
          <w:szCs w:val="32"/>
          <w:lang w:val="en-US" w:eastAsia="zh-CN"/>
        </w:rPr>
        <w:t>平台运维服务费</w:t>
      </w:r>
      <w:r>
        <w:rPr>
          <w:rFonts w:hint="eastAsia" w:ascii="仿宋_GB2312"/>
          <w:sz w:val="32"/>
          <w:szCs w:val="32"/>
          <w:lang w:val="en-US" w:eastAsia="zh-CN"/>
        </w:rPr>
        <w:t>6</w:t>
      </w:r>
      <w:r>
        <w:rPr>
          <w:rFonts w:hint="default" w:ascii="仿宋_GB2312"/>
          <w:sz w:val="32"/>
          <w:szCs w:val="32"/>
          <w:lang w:val="en-US" w:eastAsia="zh-CN"/>
        </w:rPr>
        <w:t>万元。</w:t>
      </w:r>
      <w:r>
        <w:rPr>
          <w:rFonts w:hint="eastAsia" w:ascii="仿宋_GB2312"/>
          <w:sz w:val="32"/>
          <w:szCs w:val="32"/>
          <w:lang w:val="en-US" w:eastAsia="zh-CN"/>
        </w:rPr>
        <w:t>支出进度达到100%.</w:t>
      </w:r>
    </w:p>
    <w:p>
      <w:pPr>
        <w:numPr>
          <w:ilvl w:val="0"/>
          <w:numId w:val="2"/>
        </w:numPr>
        <w:ind w:left="0" w:leftChars="0" w:firstLine="640" w:firstLineChars="200"/>
        <w:rPr>
          <w:rFonts w:hint="default" w:ascii="仿宋_GB2312"/>
          <w:sz w:val="32"/>
          <w:szCs w:val="32"/>
          <w:lang w:val="en-US" w:eastAsia="zh-CN"/>
        </w:rPr>
      </w:pPr>
      <w:r>
        <w:rPr>
          <w:rFonts w:hint="default" w:ascii="仿宋_GB2312"/>
          <w:sz w:val="32"/>
          <w:szCs w:val="32"/>
          <w:lang w:val="en-US" w:eastAsia="zh-CN"/>
        </w:rPr>
        <w:t>项目的绩效目标完成情况</w:t>
      </w:r>
    </w:p>
    <w:p>
      <w:pPr>
        <w:numPr>
          <w:ilvl w:val="0"/>
          <w:numId w:val="0"/>
        </w:numPr>
        <w:ind w:firstLine="640" w:firstLineChars="200"/>
        <w:rPr>
          <w:rFonts w:hint="eastAsia" w:ascii="仿宋_GB2312"/>
          <w:sz w:val="32"/>
          <w:szCs w:val="32"/>
          <w:lang w:val="en-US" w:eastAsia="zh-CN"/>
        </w:rPr>
      </w:pPr>
      <w:r>
        <w:rPr>
          <w:rFonts w:hint="eastAsia" w:ascii="仿宋_GB2312"/>
          <w:sz w:val="32"/>
          <w:szCs w:val="32"/>
          <w:lang w:val="en-US" w:eastAsia="zh-CN"/>
        </w:rPr>
        <w:t>截至2023年12月31日，全县共登记部门58个，注册目录328个收集资源总量314339条。其中对外公开的部门57 个，328类信息资源，282820条数据。受理各部门软件类故障38件，业务相关服务次数671次。</w:t>
      </w:r>
    </w:p>
    <w:p>
      <w:pPr>
        <w:numPr>
          <w:ilvl w:val="0"/>
          <w:numId w:val="0"/>
        </w:numPr>
        <w:ind w:firstLine="640" w:firstLineChars="200"/>
        <w:rPr>
          <w:rFonts w:hint="default" w:ascii="仿宋_GB2312"/>
          <w:sz w:val="32"/>
          <w:szCs w:val="32"/>
          <w:lang w:val="en-US" w:eastAsia="zh-CN"/>
        </w:rPr>
      </w:pPr>
      <w:r>
        <w:rPr>
          <w:rFonts w:hint="default" w:ascii="仿宋_GB2312"/>
          <w:sz w:val="32"/>
          <w:szCs w:val="32"/>
          <w:lang w:val="en-US" w:eastAsia="zh-CN"/>
        </w:rPr>
        <w:t>4、项目资金使用效益，对环境、经济、社会的可持续影响。</w:t>
      </w:r>
    </w:p>
    <w:p>
      <w:pPr>
        <w:numPr>
          <w:ilvl w:val="0"/>
          <w:numId w:val="0"/>
        </w:numPr>
        <w:ind w:firstLine="640" w:firstLineChars="200"/>
        <w:rPr>
          <w:rFonts w:hint="default" w:ascii="仿宋_GB2312"/>
          <w:sz w:val="32"/>
          <w:szCs w:val="32"/>
          <w:lang w:val="en" w:eastAsia="zh-CN"/>
        </w:rPr>
      </w:pPr>
      <w:r>
        <w:rPr>
          <w:rFonts w:hint="default" w:ascii="仿宋_GB2312"/>
          <w:sz w:val="32"/>
          <w:szCs w:val="32"/>
          <w:lang w:val="en-US" w:eastAsia="zh-CN"/>
        </w:rPr>
        <w:t>信用网站维护。在数据层面已汇聚了“企业、事业单位、社会组织、重点人群”等各类信用数据，并形成了各类专题资源库。在应用层面已建成了信用承诺、信用修复、信用异议、信用报告、双公示、联合奖惩等各类专业的业务系统。县信用办在日常的信用建设工作过程中，该部分业务系统发挥了重要的辅助作用。</w:t>
      </w:r>
      <w:r>
        <w:rPr>
          <w:rFonts w:hint="default" w:ascii="仿宋_GB2312"/>
          <w:sz w:val="32"/>
          <w:szCs w:val="32"/>
          <w:lang w:val="en" w:eastAsia="zh-CN"/>
        </w:rPr>
        <w:t>2023</w:t>
      </w:r>
      <w:r>
        <w:rPr>
          <w:rFonts w:hint="eastAsia" w:ascii="仿宋_GB2312"/>
          <w:sz w:val="32"/>
          <w:szCs w:val="32"/>
          <w:lang w:val="en" w:eastAsia="zh-CN"/>
        </w:rPr>
        <w:t>年我县累计归集信用双公示数据</w:t>
      </w:r>
      <w:r>
        <w:rPr>
          <w:rFonts w:hint="eastAsia" w:ascii="仿宋_GB2312"/>
          <w:sz w:val="32"/>
          <w:szCs w:val="32"/>
          <w:lang w:val="en-US" w:eastAsia="zh-CN"/>
        </w:rPr>
        <w:t>22944条，及时率为99.58%，</w:t>
      </w:r>
      <w:r>
        <w:rPr>
          <w:rFonts w:hint="eastAsia" w:ascii="仿宋_GB2312"/>
          <w:sz w:val="32"/>
          <w:szCs w:val="32"/>
          <w:lang w:val="en" w:eastAsia="zh-CN"/>
        </w:rPr>
        <w:t>在营商环境、法治韶关、平安韶关等考核中考核满分。</w:t>
      </w:r>
    </w:p>
    <w:p>
      <w:pPr>
        <w:numPr>
          <w:ilvl w:val="0"/>
          <w:numId w:val="0"/>
        </w:numPr>
        <w:rPr>
          <w:rFonts w:hint="default" w:ascii="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6EB37"/>
    <w:multiLevelType w:val="singleLevel"/>
    <w:tmpl w:val="8946EB37"/>
    <w:lvl w:ilvl="0" w:tentative="0">
      <w:start w:val="2"/>
      <w:numFmt w:val="decimal"/>
      <w:suff w:val="nothing"/>
      <w:lvlText w:val="%1、"/>
      <w:lvlJc w:val="left"/>
    </w:lvl>
  </w:abstractNum>
  <w:abstractNum w:abstractNumId="1">
    <w:nsid w:val="7C340BE4"/>
    <w:multiLevelType w:val="singleLevel"/>
    <w:tmpl w:val="7C340BE4"/>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5D3AC8"/>
    <w:rsid w:val="055D3AC8"/>
    <w:rsid w:val="079808B9"/>
    <w:rsid w:val="09E82393"/>
    <w:rsid w:val="0FEE1AD1"/>
    <w:rsid w:val="4177373B"/>
    <w:rsid w:val="42E005FB"/>
    <w:rsid w:val="58855B37"/>
    <w:rsid w:val="5BE1154B"/>
    <w:rsid w:val="5FF8E7DE"/>
    <w:rsid w:val="6FF78703"/>
    <w:rsid w:val="7872A145"/>
    <w:rsid w:val="7CE966FB"/>
    <w:rsid w:val="EF9D246E"/>
    <w:rsid w:val="FEFF9B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560" w:lineRule="exact"/>
      <w:jc w:val="both"/>
      <w:textAlignment w:val="baseline"/>
    </w:pPr>
    <w:rPr>
      <w:rFonts w:ascii="Times New Roman" w:hAnsi="Times New Roman" w:eastAsia="仿宋_GB2312" w:cs="Times New Roman"/>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1419</Words>
  <Characters>1479</Characters>
  <Lines>0</Lines>
  <Paragraphs>0</Paragraphs>
  <TotalTime>3</TotalTime>
  <ScaleCrop>false</ScaleCrop>
  <LinksUpToDate>false</LinksUpToDate>
  <CharactersWithSpaces>1480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2022-04-23T02:42:00Z</dcterms:created>
  <dc:creator>风向北吹</dc:creator>
  <cp:lastModifiedBy>Administrator</cp:lastModifiedBy>
  <dcterms:modified xsi:type="dcterms:W3CDTF">2024-09-26T08:23:02Z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420B84FD6A1A4A168E7FE53CDAE251FC</vt:lpwstr>
  </property>
  <property fmtid="{D5CDD505-2E9C-101B-9397-08002B2CF9AE}" pid="4" name="commondata">
    <vt:lpwstr>eyJoZGlkIjoiMWZiNDY1Zjc2NjcxNTNhNWFiMTc1NDE1OWRjYmNkMWEifQ==</vt:lpwstr>
  </property>
</Properties>
</file>