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黑体"/>
          <w:b/>
          <w:sz w:val="36"/>
          <w:szCs w:val="36"/>
          <w:lang w:val="en-US" w:eastAsia="zh-CN"/>
        </w:rPr>
      </w:pPr>
    </w:p>
    <w:p>
      <w:pPr>
        <w:jc w:val="center"/>
        <w:rPr>
          <w:rFonts w:hint="eastAsia" w:ascii="宋体" w:hAnsi="宋体"/>
          <w:b/>
          <w:sz w:val="44"/>
          <w:szCs w:val="44"/>
        </w:rPr>
      </w:pPr>
      <w:r>
        <w:rPr>
          <w:rFonts w:hint="eastAsia" w:ascii="宋体" w:hAnsi="宋体"/>
          <w:b/>
          <w:sz w:val="44"/>
          <w:szCs w:val="44"/>
        </w:rPr>
        <w:t>财政支出项目绩效自评报告</w:t>
      </w:r>
    </w:p>
    <w:p>
      <w:pPr>
        <w:spacing w:line="560" w:lineRule="exact"/>
        <w:ind w:firstLine="2530" w:firstLineChars="700"/>
        <w:rPr>
          <w:rFonts w:hint="eastAsia" w:ascii="宋体" w:hAnsi="宋体" w:eastAsia="黑体"/>
          <w:b/>
          <w:sz w:val="36"/>
          <w:szCs w:val="36"/>
          <w:lang w:val="en-US" w:eastAsia="zh-CN"/>
        </w:rPr>
      </w:pPr>
      <w:r>
        <w:rPr>
          <w:rFonts w:hint="eastAsia" w:ascii="宋体" w:hAnsi="宋体" w:eastAsia="黑体"/>
          <w:b/>
          <w:sz w:val="36"/>
          <w:szCs w:val="36"/>
          <w:lang w:val="en-US" w:eastAsia="zh-CN"/>
        </w:rPr>
        <w:t>发改业务工作经费</w:t>
      </w:r>
    </w:p>
    <w:p>
      <w:pPr>
        <w:spacing w:line="360" w:lineRule="auto"/>
        <w:rPr>
          <w:rFonts w:hint="eastAsia" w:ascii="仿宋_GB2312" w:hAnsi="宋体" w:eastAsia="仿宋_GB2312"/>
          <w:b/>
          <w:color w:val="000000"/>
          <w:sz w:val="32"/>
          <w:szCs w:val="32"/>
          <w:lang w:val="en-US" w:eastAsia="zh-CN"/>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（一）项目用款单位简要情况。</w:t>
      </w:r>
    </w:p>
    <w:p>
      <w:pPr>
        <w:pStyle w:val="5"/>
        <w:ind w:firstLine="790" w:firstLineChars="246"/>
        <w:rPr>
          <w:rFonts w:hint="eastAsia" w:ascii="楷体_GB2312" w:hAnsi="宋体" w:eastAsia="楷体_GB2312" w:cs="宋体"/>
          <w:b/>
          <w:color w:val="000000"/>
          <w:sz w:val="32"/>
          <w:szCs w:val="32"/>
        </w:rPr>
      </w:pPr>
      <w:r>
        <w:rPr>
          <w:rFonts w:hint="eastAsia" w:ascii="楷体_GB2312" w:hAnsi="宋体" w:eastAsia="楷体_GB2312" w:cs="宋体"/>
          <w:b/>
          <w:color w:val="000000"/>
          <w:sz w:val="32"/>
          <w:szCs w:val="32"/>
        </w:rPr>
        <w:t>1、部门机构设置及职能</w:t>
      </w:r>
    </w:p>
    <w:p>
      <w:pPr>
        <w:pStyle w:val="5"/>
        <w:rPr>
          <w:rFonts w:hint="eastAsia" w:ascii="仿宋_GB2312" w:hAnsi="宋体" w:eastAsia="仿宋_GB2312" w:cs="宋体"/>
          <w:color w:val="000000"/>
          <w:sz w:val="32"/>
          <w:szCs w:val="32"/>
          <w:lang w:eastAsia="zh-CN"/>
        </w:rPr>
      </w:pPr>
      <w:r>
        <w:rPr>
          <w:rFonts w:hint="eastAsia" w:ascii="仿宋_GB2312" w:hAnsi="宋体" w:eastAsia="仿宋_GB2312" w:cs="宋体"/>
          <w:color w:val="000000"/>
          <w:sz w:val="32"/>
          <w:szCs w:val="32"/>
        </w:rPr>
        <w:t>　　</w:t>
      </w:r>
      <w:r>
        <w:rPr>
          <w:rFonts w:ascii="仿宋_GB2312" w:eastAsia="仿宋_GB2312"/>
          <w:sz w:val="32"/>
          <w:szCs w:val="32"/>
        </w:rPr>
        <w:t xml:space="preserve"> </w:t>
      </w:r>
      <w:r>
        <w:rPr>
          <w:rFonts w:hint="eastAsia" w:ascii="仿宋_GB2312" w:hAnsi="仿宋_GB2312" w:eastAsia="仿宋_GB2312" w:cs="仿宋_GB2312"/>
          <w:sz w:val="32"/>
          <w:szCs w:val="32"/>
          <w:lang w:eastAsia="zh-CN"/>
        </w:rPr>
        <w:t>本部门预算为汇总预算，包括：局本级预算，以及纳入编制范围未单独核算的下属单位预算。下属单位具体包括：乳源瑶族自治县</w:t>
      </w:r>
      <w:r>
        <w:rPr>
          <w:rFonts w:hint="eastAsia" w:ascii="仿宋_GB2312" w:hAnsi="仿宋_GB2312" w:eastAsia="仿宋_GB2312" w:cs="仿宋_GB2312"/>
          <w:sz w:val="32"/>
          <w:szCs w:val="32"/>
        </w:rPr>
        <w:t>价格认证中心、</w:t>
      </w:r>
      <w:r>
        <w:rPr>
          <w:rFonts w:hint="eastAsia" w:ascii="仿宋_GB2312" w:hAnsi="仿宋_GB2312" w:eastAsia="仿宋_GB2312" w:cs="仿宋_GB2312"/>
          <w:sz w:val="32"/>
          <w:szCs w:val="32"/>
          <w:lang w:eastAsia="zh-CN"/>
        </w:rPr>
        <w:t>乳源瑶族自治县</w:t>
      </w:r>
      <w:r>
        <w:rPr>
          <w:rFonts w:hint="eastAsia" w:ascii="仿宋_GB2312" w:hAnsi="仿宋_GB2312" w:eastAsia="仿宋_GB2312" w:cs="仿宋_GB2312"/>
          <w:sz w:val="32"/>
          <w:szCs w:val="32"/>
        </w:rPr>
        <w:t>粮食和物资储备保障中心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内设股室</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个分别：办公室、</w:t>
      </w:r>
      <w:r>
        <w:rPr>
          <w:rFonts w:hint="eastAsia" w:ascii="仿宋_GB2312" w:hAnsi="仿宋_GB2312" w:eastAsia="仿宋_GB2312" w:cs="仿宋_GB2312"/>
          <w:sz w:val="32"/>
          <w:szCs w:val="32"/>
          <w:lang w:eastAsia="zh-CN"/>
        </w:rPr>
        <w:t>综合规划股、</w:t>
      </w:r>
      <w:r>
        <w:rPr>
          <w:rFonts w:hint="eastAsia" w:ascii="仿宋_GB2312" w:hAnsi="仿宋_GB2312" w:eastAsia="仿宋_GB2312" w:cs="仿宋_GB2312"/>
          <w:sz w:val="32"/>
          <w:szCs w:val="32"/>
        </w:rPr>
        <w:t>投资与审批股、</w:t>
      </w:r>
      <w:r>
        <w:rPr>
          <w:rFonts w:hint="eastAsia" w:ascii="仿宋_GB2312" w:hAnsi="仿宋_GB2312" w:eastAsia="仿宋_GB2312" w:cs="仿宋_GB2312"/>
          <w:sz w:val="32"/>
          <w:szCs w:val="32"/>
          <w:lang w:eastAsia="zh-CN"/>
        </w:rPr>
        <w:t>产业和社会股</w:t>
      </w:r>
      <w:r>
        <w:rPr>
          <w:rFonts w:hint="eastAsia" w:ascii="仿宋_GB2312" w:hAnsi="仿宋_GB2312" w:eastAsia="仿宋_GB2312" w:cs="仿宋_GB2312"/>
          <w:sz w:val="32"/>
          <w:szCs w:val="32"/>
        </w:rPr>
        <w:t>、物价业务股、</w:t>
      </w:r>
      <w:r>
        <w:rPr>
          <w:rFonts w:hint="eastAsia" w:ascii="仿宋_GB2312" w:hAnsi="仿宋_GB2312" w:eastAsia="仿宋_GB2312" w:cs="仿宋_GB2312"/>
          <w:sz w:val="32"/>
          <w:szCs w:val="32"/>
          <w:lang w:eastAsia="zh-CN"/>
        </w:rPr>
        <w:t>粮食和物资储备股</w:t>
      </w:r>
      <w:r>
        <w:rPr>
          <w:rFonts w:hint="eastAsia" w:ascii="仿宋_GB2312" w:hAnsi="仿宋_GB2312" w:eastAsia="仿宋_GB2312" w:cs="仿宋_GB2312"/>
          <w:sz w:val="32"/>
          <w:szCs w:val="32"/>
        </w:rPr>
        <w:t>、能源管理办公室、</w:t>
      </w:r>
      <w:r>
        <w:rPr>
          <w:rFonts w:hint="eastAsia" w:ascii="仿宋_GB2312" w:hAnsi="仿宋_GB2312" w:eastAsia="仿宋_GB2312" w:cs="仿宋_GB2312"/>
          <w:sz w:val="32"/>
          <w:szCs w:val="32"/>
          <w:lang w:eastAsia="zh-CN"/>
        </w:rPr>
        <w:t>重点建设项目管理办公室、人民防空股、国防动员股</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宋体" w:eastAsia="仿宋_GB2312" w:cs="宋体"/>
          <w:b/>
          <w:color w:val="000000"/>
          <w:sz w:val="32"/>
          <w:szCs w:val="32"/>
        </w:rPr>
      </w:pPr>
      <w:r>
        <w:rPr>
          <w:rFonts w:hint="eastAsia" w:ascii="仿宋_GB2312" w:hAnsi="宋体" w:eastAsia="仿宋_GB2312" w:cs="宋体"/>
          <w:color w:val="000000"/>
          <w:sz w:val="32"/>
          <w:szCs w:val="32"/>
        </w:rPr>
        <w:t xml:space="preserve"> </w:t>
      </w:r>
      <w:r>
        <w:rPr>
          <w:rFonts w:hint="eastAsia" w:ascii="仿宋_GB2312" w:hAnsi="宋体" w:eastAsia="仿宋_GB2312" w:cs="宋体"/>
          <w:b/>
          <w:color w:val="000000"/>
          <w:sz w:val="32"/>
          <w:szCs w:val="32"/>
        </w:rPr>
        <w:t>主要职能是：</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本单位主要职责是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拟订国民经济和社会发展中长期规划、年度计划；综合分析工业、服务业、农业农村经济发展情况和重大问题，提出相关政策建议和改革建议;规划重点项目布局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拟订县重点项目年度投资计划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综合协调重点项目建设，督促检查县重点建设项目计划执行；研究分析财政、金融等方面的情况，参与财政、土地、金融体制改革及政策的制定，提出投资融资的发展战略和政策建议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研究能源开发和利用，提出综合能源发展战略和重大政策并组织实施，完善对能源产业的管理，推进能源结构战略性调整，拟订能源行业发展规划和年度计划，研究提出相关体制改革建议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拟订全县粮食流通设施和物资储备基础设施建设规划并负责组织实施和指导管理</w:t>
      </w:r>
      <w:r>
        <w:rPr>
          <w:rFonts w:hint="eastAsia" w:ascii="仿宋_GB2312" w:hAnsi="仿宋_GB2312" w:eastAsia="仿宋_GB2312" w:cs="仿宋_GB2312"/>
          <w:sz w:val="32"/>
          <w:szCs w:val="32"/>
          <w:lang w:eastAsia="zh-CN"/>
        </w:rPr>
        <w:t>，</w:t>
      </w:r>
      <w:r>
        <w:rPr>
          <w:rFonts w:hint="eastAsia" w:ascii="仿宋_GB2312" w:eastAsia="仿宋_GB2312"/>
          <w:color w:val="000000"/>
          <w:sz w:val="32"/>
          <w:szCs w:val="32"/>
        </w:rPr>
        <w:t>组织实施重要物资和应急储备物资收储、轮换和日常管理</w:t>
      </w:r>
      <w:r>
        <w:rPr>
          <w:rFonts w:hint="eastAsia" w:ascii="仿宋_GB2312" w:hAnsi="仿宋_GB2312" w:eastAsia="仿宋_GB2312" w:cs="仿宋_GB2312"/>
          <w:sz w:val="32"/>
          <w:szCs w:val="32"/>
        </w:rPr>
        <w:t>；贯彻落实省、市价格和收费改革方案、有关价格和收费法规规章及规范性文件。依据《广东省定价目录》，制定和调整县级政府定价范围内的商品、服务价格或收费标准并实施</w:t>
      </w:r>
      <w:r>
        <w:rPr>
          <w:rFonts w:hint="eastAsia" w:ascii="仿宋_GB2312" w:hAnsi="仿宋_GB2312" w:eastAsia="仿宋_GB2312" w:cs="仿宋_GB2312"/>
          <w:sz w:val="32"/>
          <w:szCs w:val="32"/>
          <w:lang w:eastAsia="zh-CN"/>
        </w:rPr>
        <w:t>等。</w:t>
      </w:r>
    </w:p>
    <w:p>
      <w:pPr>
        <w:spacing w:line="360" w:lineRule="auto"/>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（二）项目实施主要内容及实施程序。</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eastAsia="仿宋_GB2312"/>
          <w:sz w:val="32"/>
          <w:szCs w:val="32"/>
          <w:lang w:eastAsia="zh-CN"/>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县发展和改革局机</w:t>
      </w:r>
      <w:r>
        <w:rPr>
          <w:rFonts w:hint="eastAsia" w:ascii="仿宋_GB2312" w:hAnsi="仿宋_GB2312" w:eastAsia="仿宋_GB2312" w:cs="仿宋_GB2312"/>
          <w:color w:val="auto"/>
          <w:sz w:val="32"/>
          <w:szCs w:val="32"/>
        </w:rPr>
        <w:t>关共有行政编制</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名，在职</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工勤人员</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局属单位共有事业编制</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名，在职</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；后勤聘用人员</w:t>
      </w:r>
      <w:r>
        <w:rPr>
          <w:rFonts w:hint="eastAsia" w:ascii="仿宋_GB2312" w:hAnsi="仿宋_GB2312" w:eastAsia="仿宋_GB2312" w:cs="仿宋_GB2312"/>
          <w:color w:val="auto"/>
          <w:sz w:val="32"/>
          <w:szCs w:val="32"/>
          <w:lang w:val="en-US" w:eastAsia="zh-CN"/>
        </w:rPr>
        <w:t>5人（机构改革，人防随着改革调入1名后勤人员，原来1名后勤人员8月离职，12月底实有5名后勤人员）。</w:t>
      </w:r>
      <w:r>
        <w:rPr>
          <w:rFonts w:hint="eastAsia" w:ascii="仿宋_GB2312" w:eastAsia="仿宋_GB2312"/>
          <w:sz w:val="32"/>
          <w:szCs w:val="32"/>
        </w:rPr>
        <w:t>我</w:t>
      </w:r>
      <w:r>
        <w:rPr>
          <w:rFonts w:hint="eastAsia" w:ascii="仿宋_GB2312" w:eastAsia="仿宋_GB2312"/>
          <w:sz w:val="32"/>
          <w:szCs w:val="32"/>
          <w:lang w:eastAsia="zh-CN"/>
        </w:rPr>
        <w:t>局</w:t>
      </w:r>
      <w:r>
        <w:rPr>
          <w:rFonts w:hint="eastAsia" w:ascii="仿宋_GB2312" w:eastAsia="仿宋_GB2312"/>
          <w:sz w:val="32"/>
          <w:szCs w:val="32"/>
        </w:rPr>
        <w:t>该项目资金</w:t>
      </w:r>
      <w:r>
        <w:rPr>
          <w:rFonts w:hint="eastAsia" w:ascii="仿宋_GB2312" w:eastAsia="仿宋_GB2312"/>
          <w:sz w:val="32"/>
          <w:szCs w:val="32"/>
          <w:lang w:eastAsia="zh-CN"/>
        </w:rPr>
        <w:t>用于后勤聘用人员的工资以及发改相关的业务经费。</w:t>
      </w:r>
      <w:r>
        <w:rPr>
          <w:rFonts w:hint="eastAsia" w:ascii="仿宋_GB2312" w:hAnsi="宋体" w:eastAsia="仿宋_GB2312"/>
          <w:color w:val="000000"/>
          <w:sz w:val="32"/>
          <w:szCs w:val="32"/>
        </w:rPr>
        <w:t>有效缓解单位专业人员不足的情况</w:t>
      </w:r>
      <w:r>
        <w:rPr>
          <w:rFonts w:hint="eastAsia" w:ascii="仿宋_GB2312" w:hAnsi="宋体" w:eastAsia="仿宋_GB2312"/>
          <w:color w:val="000000"/>
          <w:sz w:val="32"/>
          <w:szCs w:val="32"/>
          <w:lang w:eastAsia="zh-CN"/>
        </w:rPr>
        <w:t>。</w:t>
      </w:r>
    </w:p>
    <w:p>
      <w:pPr>
        <w:spacing w:line="500" w:lineRule="exact"/>
        <w:ind w:firstLine="643" w:firstLineChars="200"/>
        <w:rPr>
          <w:rFonts w:hint="eastAsia" w:ascii="仿宋_GB2312" w:hAnsi="宋体" w:eastAsia="仿宋_GB2312"/>
          <w:color w:val="000000"/>
          <w:sz w:val="32"/>
          <w:szCs w:val="32"/>
        </w:rPr>
      </w:pPr>
      <w:r>
        <w:rPr>
          <w:rFonts w:ascii="仿宋_GB2312" w:eastAsia="仿宋_GB2312"/>
          <w:b/>
          <w:color w:val="000000"/>
          <w:sz w:val="32"/>
          <w:szCs w:val="32"/>
        </w:rPr>
        <w:t>（三）</w:t>
      </w:r>
      <w:r>
        <w:rPr>
          <w:rFonts w:ascii="仿宋_GB2312" w:hAnsi="Times New Roman" w:eastAsia="仿宋_GB2312"/>
          <w:b/>
          <w:color w:val="000000"/>
          <w:kern w:val="0"/>
          <w:sz w:val="32"/>
          <w:szCs w:val="32"/>
        </w:rPr>
        <w:t>综述项目自评</w:t>
      </w:r>
      <w:r>
        <w:rPr>
          <w:rFonts w:ascii="仿宋_GB2312" w:eastAsia="仿宋_GB2312" w:cs="Times New Roman"/>
          <w:b/>
          <w:color w:val="000000"/>
          <w:sz w:val="32"/>
          <w:szCs w:val="32"/>
        </w:rPr>
        <w:t>等级</w:t>
      </w:r>
      <w:r>
        <w:rPr>
          <w:rFonts w:ascii="仿宋_GB2312" w:hAnsi="Times New Roman" w:eastAsia="仿宋_GB2312"/>
          <w:b/>
          <w:color w:val="000000"/>
          <w:kern w:val="0"/>
          <w:sz w:val="32"/>
          <w:szCs w:val="32"/>
        </w:rPr>
        <w:t>和分数，并对照佐证材料逐一分析。</w:t>
      </w:r>
    </w:p>
    <w:p>
      <w:pPr>
        <w:spacing w:line="560" w:lineRule="exact"/>
        <w:ind w:firstLine="640" w:firstLineChars="200"/>
        <w:rPr>
          <w:rFonts w:ascii="仿宋_GB2312" w:eastAsia="仿宋_GB2312"/>
          <w:color w:val="auto"/>
          <w:sz w:val="32"/>
          <w:szCs w:val="32"/>
        </w:rPr>
      </w:pPr>
      <w:r>
        <w:rPr>
          <w:rFonts w:hint="eastAsia" w:ascii="仿宋_GB2312" w:hAnsi="宋体" w:eastAsia="仿宋_GB2312"/>
          <w:color w:val="000000"/>
          <w:sz w:val="32"/>
          <w:szCs w:val="32"/>
        </w:rPr>
        <w:t>项目自评分数是：</w:t>
      </w:r>
      <w:r>
        <w:rPr>
          <w:rFonts w:hint="eastAsia" w:ascii="仿宋_GB2312" w:hAnsi="宋体" w:eastAsia="仿宋_GB2312"/>
          <w:color w:val="000000"/>
          <w:sz w:val="32"/>
          <w:szCs w:val="32"/>
          <w:lang w:val="en-US" w:eastAsia="zh-CN"/>
        </w:rPr>
        <w:t>100</w:t>
      </w:r>
      <w:r>
        <w:rPr>
          <w:rFonts w:hint="eastAsia" w:ascii="仿宋_GB2312" w:hAnsi="宋体" w:eastAsia="仿宋_GB2312"/>
          <w:color w:val="000000"/>
          <w:sz w:val="32"/>
          <w:szCs w:val="32"/>
        </w:rPr>
        <w:t>分</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自评等级是：</w:t>
      </w:r>
      <w:r>
        <w:rPr>
          <w:rFonts w:hint="eastAsia" w:ascii="仿宋_GB2312" w:hAnsi="宋体" w:eastAsia="仿宋_GB2312"/>
          <w:color w:val="000000"/>
          <w:sz w:val="32"/>
          <w:szCs w:val="32"/>
          <w:lang w:eastAsia="zh-CN"/>
        </w:rPr>
        <w:t>优。</w:t>
      </w:r>
      <w:r>
        <w:rPr>
          <w:rFonts w:hint="eastAsia" w:ascii="仿宋_GB2312" w:eastAsia="仿宋_GB2312"/>
          <w:color w:val="auto"/>
          <w:sz w:val="32"/>
          <w:szCs w:val="32"/>
          <w:lang w:eastAsia="zh-CN"/>
        </w:rPr>
        <w:t>其中：项目立项得</w:t>
      </w:r>
      <w:r>
        <w:rPr>
          <w:rFonts w:hint="eastAsia" w:ascii="仿宋_GB2312" w:eastAsia="仿宋_GB2312"/>
          <w:color w:val="auto"/>
          <w:sz w:val="32"/>
          <w:szCs w:val="32"/>
          <w:lang w:val="en-US" w:eastAsia="zh-CN"/>
        </w:rPr>
        <w:t>12分，资金落实得8分，资金管理得12分，事项管理得8分，经济性得5分，效率性得25分，效果性得25分，公平性得5分</w:t>
      </w:r>
      <w:r>
        <w:rPr>
          <w:rFonts w:hint="eastAsia" w:ascii="仿宋_GB2312" w:eastAsia="仿宋_GB2312"/>
          <w:color w:val="auto"/>
          <w:sz w:val="32"/>
          <w:szCs w:val="32"/>
        </w:rPr>
        <w:t>。</w:t>
      </w:r>
      <w:r>
        <w:rPr>
          <w:rFonts w:hint="eastAsia" w:ascii="仿宋_GB2312" w:hAnsi="宋体" w:eastAsia="仿宋_GB2312"/>
          <w:color w:val="000000"/>
          <w:sz w:val="32"/>
          <w:szCs w:val="32"/>
          <w:lang w:eastAsia="zh-CN"/>
        </w:rPr>
        <w:t>绩效自评：</w:t>
      </w:r>
      <w:r>
        <w:rPr>
          <w:rFonts w:hint="eastAsia" w:ascii="仿宋_GB2312" w:hAnsi="宋体" w:eastAsia="仿宋_GB2312"/>
          <w:color w:val="000000"/>
          <w:sz w:val="32"/>
          <w:szCs w:val="32"/>
        </w:rPr>
        <w:t>完善发改队伍建设，有效缓解单位专业人员不足的情况，</w:t>
      </w:r>
      <w:r>
        <w:rPr>
          <w:rFonts w:hint="eastAsia" w:ascii="仿宋_GB2312" w:hAnsi="宋体" w:eastAsia="仿宋_GB2312"/>
          <w:color w:val="000000"/>
          <w:sz w:val="32"/>
          <w:szCs w:val="32"/>
          <w:lang w:eastAsia="zh-CN"/>
        </w:rPr>
        <w:t>通过签订劳动合同，</w:t>
      </w:r>
      <w:bookmarkStart w:id="0" w:name="_GoBack"/>
      <w:bookmarkEnd w:id="0"/>
      <w:r>
        <w:rPr>
          <w:rFonts w:hint="eastAsia" w:ascii="仿宋_GB2312" w:hAnsi="宋体" w:eastAsia="仿宋_GB2312"/>
          <w:color w:val="000000"/>
          <w:sz w:val="32"/>
          <w:szCs w:val="32"/>
        </w:rPr>
        <w:t>保障</w:t>
      </w:r>
      <w:r>
        <w:rPr>
          <w:rFonts w:hint="eastAsia" w:ascii="仿宋_GB2312" w:hAnsi="宋体" w:eastAsia="仿宋_GB2312"/>
          <w:color w:val="000000"/>
          <w:sz w:val="32"/>
          <w:szCs w:val="32"/>
          <w:lang w:eastAsia="zh-CN"/>
        </w:rPr>
        <w:t>后勤</w:t>
      </w:r>
      <w:r>
        <w:rPr>
          <w:rFonts w:hint="eastAsia" w:ascii="仿宋_GB2312" w:hAnsi="宋体" w:eastAsia="仿宋_GB2312"/>
          <w:color w:val="000000"/>
          <w:sz w:val="32"/>
          <w:szCs w:val="32"/>
        </w:rPr>
        <w:t>人员工资和五险一金</w:t>
      </w:r>
      <w:r>
        <w:rPr>
          <w:rFonts w:hint="eastAsia" w:ascii="仿宋_GB2312" w:hAnsi="宋体" w:eastAsia="仿宋_GB2312"/>
          <w:color w:val="000000"/>
          <w:sz w:val="32"/>
          <w:szCs w:val="32"/>
          <w:lang w:eastAsia="zh-CN"/>
        </w:rPr>
        <w:t>的</w:t>
      </w:r>
      <w:r>
        <w:rPr>
          <w:rFonts w:hint="eastAsia" w:ascii="仿宋_GB2312" w:hAnsi="宋体" w:eastAsia="仿宋_GB2312"/>
          <w:color w:val="000000"/>
          <w:sz w:val="32"/>
          <w:szCs w:val="32"/>
        </w:rPr>
        <w:t>缴纳。按时发放</w:t>
      </w:r>
      <w:r>
        <w:rPr>
          <w:rFonts w:hint="eastAsia" w:ascii="仿宋_GB2312" w:hAnsi="宋体" w:eastAsia="仿宋_GB2312"/>
          <w:color w:val="000000"/>
          <w:sz w:val="32"/>
          <w:szCs w:val="32"/>
          <w:lang w:eastAsia="zh-CN"/>
        </w:rPr>
        <w:t>发改业务</w:t>
      </w:r>
      <w:r>
        <w:rPr>
          <w:rFonts w:hint="eastAsia" w:ascii="仿宋_GB2312" w:hAnsi="宋体" w:eastAsia="仿宋_GB2312"/>
          <w:color w:val="000000"/>
          <w:sz w:val="32"/>
          <w:szCs w:val="32"/>
        </w:rPr>
        <w:t>差旅费、维修维护费、印刷费</w:t>
      </w:r>
      <w:r>
        <w:rPr>
          <w:rFonts w:hint="eastAsia" w:ascii="仿宋_GB2312" w:hAnsi="宋体" w:eastAsia="仿宋_GB2312"/>
          <w:color w:val="000000"/>
          <w:sz w:val="32"/>
          <w:szCs w:val="32"/>
          <w:lang w:eastAsia="zh-CN"/>
        </w:rPr>
        <w:t>、宣传费</w:t>
      </w:r>
      <w:r>
        <w:rPr>
          <w:rFonts w:hint="eastAsia" w:ascii="仿宋_GB2312" w:hAnsi="宋体" w:eastAsia="仿宋_GB2312"/>
          <w:color w:val="000000"/>
          <w:sz w:val="32"/>
          <w:szCs w:val="32"/>
        </w:rPr>
        <w:t>等</w:t>
      </w:r>
      <w:r>
        <w:rPr>
          <w:rFonts w:hint="eastAsia" w:ascii="仿宋_GB2312" w:hAnsi="宋体" w:eastAsia="仿宋_GB2312"/>
          <w:color w:val="000000"/>
          <w:sz w:val="32"/>
          <w:szCs w:val="32"/>
          <w:lang w:eastAsia="zh-CN"/>
        </w:rPr>
        <w:t>发改</w:t>
      </w:r>
      <w:r>
        <w:rPr>
          <w:rFonts w:hint="eastAsia" w:ascii="仿宋_GB2312" w:hAnsi="宋体" w:eastAsia="仿宋_GB2312"/>
          <w:color w:val="000000"/>
          <w:sz w:val="32"/>
          <w:szCs w:val="32"/>
        </w:rPr>
        <w:t>业务费，进一步提升我</w:t>
      </w:r>
      <w:r>
        <w:rPr>
          <w:rFonts w:hint="eastAsia" w:ascii="仿宋_GB2312" w:hAnsi="宋体" w:eastAsia="仿宋_GB2312"/>
          <w:color w:val="000000"/>
          <w:sz w:val="32"/>
          <w:szCs w:val="32"/>
          <w:lang w:eastAsia="zh-CN"/>
        </w:rPr>
        <w:t>局</w:t>
      </w:r>
      <w:r>
        <w:rPr>
          <w:rFonts w:hint="eastAsia" w:ascii="仿宋_GB2312" w:hAnsi="宋体" w:eastAsia="仿宋_GB2312"/>
          <w:color w:val="000000"/>
          <w:sz w:val="32"/>
          <w:szCs w:val="32"/>
        </w:rPr>
        <w:t>发改业务水平。</w:t>
      </w:r>
    </w:p>
    <w:p>
      <w:pPr>
        <w:spacing w:line="560" w:lineRule="exact"/>
        <w:ind w:firstLine="1280" w:firstLineChars="400"/>
        <w:rPr>
          <w:rFonts w:hint="eastAsia" w:ascii="仿宋_GB2312" w:hAnsi="宋体" w:eastAsia="仿宋_GB2312"/>
          <w:color w:val="000000"/>
          <w:sz w:val="32"/>
          <w:szCs w:val="32"/>
        </w:rPr>
      </w:pPr>
    </w:p>
    <w:p>
      <w:pPr>
        <w:spacing w:line="560" w:lineRule="exact"/>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 xml:space="preserve">     根据乳财[20</w:t>
      </w:r>
      <w:r>
        <w:rPr>
          <w:rFonts w:hint="eastAsia" w:ascii="仿宋_GB2312" w:hAnsi="宋体" w:eastAsia="仿宋_GB2312"/>
          <w:color w:val="000000"/>
          <w:sz w:val="32"/>
          <w:szCs w:val="32"/>
          <w:lang w:val="en-US" w:eastAsia="zh-CN"/>
        </w:rPr>
        <w:t>23</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号《关于批复20</w:t>
      </w:r>
      <w:r>
        <w:rPr>
          <w:rFonts w:hint="eastAsia" w:ascii="仿宋_GB2312" w:hAnsi="宋体" w:eastAsia="仿宋_GB2312"/>
          <w:color w:val="000000"/>
          <w:sz w:val="32"/>
          <w:szCs w:val="32"/>
          <w:lang w:val="en-US" w:eastAsia="zh-CN"/>
        </w:rPr>
        <w:t>23</w:t>
      </w:r>
      <w:r>
        <w:rPr>
          <w:rFonts w:hint="eastAsia" w:ascii="仿宋_GB2312" w:hAnsi="宋体" w:eastAsia="仿宋_GB2312"/>
          <w:color w:val="000000"/>
          <w:sz w:val="32"/>
          <w:szCs w:val="32"/>
        </w:rPr>
        <w:t>年部门预算的通知》</w:t>
      </w:r>
    </w:p>
    <w:p>
      <w:pPr>
        <w:numPr>
          <w:ilvl w:val="0"/>
          <w:numId w:val="1"/>
        </w:numPr>
        <w:spacing w:line="360" w:lineRule="auto"/>
        <w:ind w:firstLine="643" w:firstLineChars="200"/>
        <w:rPr>
          <w:rFonts w:hint="eastAsia" w:ascii="黑体" w:eastAsia="黑体"/>
          <w:b/>
          <w:bCs/>
          <w:sz w:val="32"/>
          <w:szCs w:val="32"/>
        </w:rPr>
      </w:pPr>
      <w:r>
        <w:rPr>
          <w:rFonts w:hint="eastAsia" w:ascii="黑体" w:eastAsia="黑体"/>
          <w:b/>
          <w:bCs/>
          <w:sz w:val="32"/>
          <w:szCs w:val="32"/>
        </w:rPr>
        <w:t>绩效表现</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（一）资金使用绩效。</w:t>
      </w:r>
    </w:p>
    <w:p>
      <w:pPr>
        <w:spacing w:line="360" w:lineRule="auto"/>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1、项目资金实际总投入情况。</w:t>
      </w:r>
    </w:p>
    <w:p>
      <w:pPr>
        <w:pStyle w:val="2"/>
        <w:ind w:left="0" w:leftChars="0" w:firstLine="640" w:firstLineChars="200"/>
        <w:rPr>
          <w:rFonts w:hint="default" w:eastAsia="仿宋_GB2312"/>
          <w:lang w:val="en-US" w:eastAsia="zh-CN"/>
        </w:rPr>
      </w:pPr>
      <w:r>
        <w:rPr>
          <w:rFonts w:hint="eastAsia" w:ascii="仿宋_GB2312" w:hAnsi="仿宋_GB2312" w:eastAsia="仿宋_GB2312"/>
          <w:sz w:val="32"/>
          <w:szCs w:val="32"/>
          <w:lang w:eastAsia="zh-CN"/>
        </w:rPr>
        <w:t>发改业务：</w:t>
      </w:r>
      <w:r>
        <w:rPr>
          <w:rFonts w:hint="eastAsia" w:ascii="仿宋_GB2312" w:hAnsi="仿宋_GB2312" w:eastAsia="仿宋_GB2312"/>
          <w:sz w:val="32"/>
          <w:szCs w:val="32"/>
          <w:lang w:val="en-US" w:eastAsia="zh-CN"/>
        </w:rPr>
        <w:t>主要用于</w:t>
      </w:r>
      <w:r>
        <w:rPr>
          <w:rFonts w:hint="eastAsia" w:ascii="仿宋_GB2312" w:hAnsi="仿宋_GB2312" w:eastAsia="仿宋_GB2312"/>
          <w:sz w:val="32"/>
          <w:szCs w:val="32"/>
          <w:lang w:eastAsia="zh-CN"/>
        </w:rPr>
        <w:t>后勤人员工资社保等发放，以及其他发改业务经费支出，年初预算</w:t>
      </w:r>
      <w:r>
        <w:rPr>
          <w:rFonts w:hint="eastAsia" w:ascii="仿宋_GB2312" w:hAnsi="仿宋_GB2312" w:eastAsia="仿宋_GB2312"/>
          <w:sz w:val="32"/>
          <w:szCs w:val="32"/>
          <w:lang w:val="en-US" w:eastAsia="zh-CN"/>
        </w:rPr>
        <w:t>42.7万元，资金压减0.8万元，实际投入41.9万元</w:t>
      </w:r>
      <w:r>
        <w:rPr>
          <w:rFonts w:hint="eastAsia" w:ascii="仿宋_GB2312" w:hAnsi="仿宋_GB2312" w:eastAsia="仿宋_GB2312"/>
          <w:sz w:val="32"/>
          <w:szCs w:val="32"/>
          <w:lang w:eastAsia="zh-CN"/>
        </w:rPr>
        <w:t>。支出进度达到</w:t>
      </w:r>
      <w:r>
        <w:rPr>
          <w:rFonts w:hint="eastAsia" w:ascii="仿宋_GB2312" w:hAnsi="仿宋_GB2312" w:eastAsia="仿宋_GB2312"/>
          <w:sz w:val="32"/>
          <w:szCs w:val="32"/>
          <w:lang w:val="en-US" w:eastAsia="zh-CN"/>
        </w:rPr>
        <w:t>99.49%，未达到原因是年末财政资金缺口，最后一笔5090元维修维护费一直未审批。</w:t>
      </w:r>
    </w:p>
    <w:p>
      <w:pPr>
        <w:numPr>
          <w:ilvl w:val="0"/>
          <w:numId w:val="2"/>
        </w:numPr>
        <w:spacing w:line="360" w:lineRule="auto"/>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项目资金实际支出情况，具体详细说明。</w:t>
      </w:r>
    </w:p>
    <w:p>
      <w:pPr>
        <w:pStyle w:val="2"/>
        <w:numPr>
          <w:ilvl w:val="0"/>
          <w:numId w:val="0"/>
        </w:numPr>
        <w:ind w:firstLine="640" w:firstLineChars="200"/>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发改业务经费支出明细：后勤人员工资以及社保公积金缴纳：29.7万元；办公经费：6.9万元；维修（护）费：2.3万元；其他商品和服务支出：2.4万元，</w:t>
      </w:r>
      <w:r>
        <w:rPr>
          <w:rFonts w:hint="eastAsia" w:ascii="仿宋_GB2312" w:hAnsi="仿宋_GB2312" w:eastAsia="仿宋_GB2312"/>
          <w:sz w:val="32"/>
          <w:szCs w:val="32"/>
          <w:lang w:val="en-US" w:eastAsia="zh-CN"/>
        </w:rPr>
        <w:t>支出进度达到99.49%</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未达到原因是年末财政资金缺口，最后一笔维修维护费一直未审批。</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jc w:val="left"/>
        <w:textAlignment w:val="auto"/>
        <w:rPr>
          <w:rFonts w:hint="eastAsia" w:ascii="仿宋_GB2312" w:hAnsi="仿宋_GB2312" w:eastAsia="仿宋_GB2312"/>
          <w:b/>
          <w:bCs/>
          <w:sz w:val="32"/>
          <w:szCs w:val="32"/>
        </w:rPr>
      </w:pPr>
      <w:r>
        <w:rPr>
          <w:rFonts w:hint="eastAsia" w:ascii="仿宋_GB2312" w:hAnsi="仿宋_GB2312" w:eastAsia="仿宋_GB2312"/>
          <w:b/>
          <w:bCs/>
          <w:sz w:val="32"/>
          <w:szCs w:val="32"/>
        </w:rPr>
        <w:t>项目的绩效目标</w:t>
      </w:r>
      <w:r>
        <w:rPr>
          <w:rFonts w:hint="eastAsia" w:ascii="仿宋_GB2312" w:hAnsi="仿宋_GB2312" w:eastAsia="仿宋_GB2312"/>
          <w:b/>
          <w:bCs/>
          <w:sz w:val="32"/>
          <w:szCs w:val="32"/>
          <w:lang w:val="en-US" w:eastAsia="zh-CN"/>
        </w:rPr>
        <w:t>完成情况</w:t>
      </w:r>
      <w:r>
        <w:rPr>
          <w:rFonts w:hint="eastAsia" w:ascii="仿宋_GB2312" w:hAnsi="仿宋_GB2312" w:eastAsia="仿宋_GB2312"/>
          <w:b/>
          <w:bCs/>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sz w:val="32"/>
          <w:szCs w:val="32"/>
          <w:lang w:eastAsia="zh-CN"/>
        </w:rPr>
      </w:pPr>
      <w:r>
        <w:rPr>
          <w:rFonts w:hint="eastAsia" w:ascii="仿宋_GB2312" w:hAnsi="仿宋_GB2312" w:eastAsia="仿宋_GB2312" w:cs="仿宋_GB2312"/>
          <w:sz w:val="32"/>
          <w:szCs w:val="32"/>
          <w:lang w:val="en-US" w:eastAsia="zh-CN"/>
        </w:rPr>
        <w:t>2023年，我局多项工作获上级认可或表扬表彰：获评广东省首批信用示范县，获评“韶关市改革攻坚规范治理先进单位”等省市级荣誉；价格认定工作获省发改委书面通报表扬，国防动员(人防)工作经验在全省推广学习，上送案例获评广东省“优秀普法项目”；市重点项目综合考核获市政府书面通报表扬，新能源综合开发工作获市能源指挥部书面通报表扬，营商环境考核两次登上全市“红榜”。</w:t>
      </w:r>
      <w:r>
        <w:rPr>
          <w:rFonts w:hint="eastAsia" w:ascii="仿宋_GB2312" w:hAnsi="仿宋_GB2312" w:eastAsia="仿宋_GB2312" w:cs="仿宋_GB2312"/>
          <w:color w:val="auto"/>
          <w:kern w:val="2"/>
          <w:sz w:val="32"/>
          <w:szCs w:val="32"/>
          <w:highlight w:val="none"/>
          <w:lang w:val="en-US" w:eastAsia="zh-CN" w:bidi="ar-SA"/>
        </w:rPr>
        <w:t>2023年，在“百千万工程”县域经济专班考核的20项指标中，我局牵头的营商环境、固定资产投资、基础设施投资占比等3项考核中，预计排名均名列前茅。</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jc w:val="left"/>
        <w:textAlignment w:val="auto"/>
        <w:rPr>
          <w:rFonts w:hint="eastAsia" w:ascii="仿宋_GB2312" w:hAnsi="仿宋_GB2312" w:eastAsia="仿宋_GB2312"/>
          <w:b/>
          <w:bCs/>
          <w:sz w:val="32"/>
          <w:szCs w:val="32"/>
          <w:lang w:eastAsia="zh-CN"/>
        </w:rPr>
      </w:pPr>
      <w:r>
        <w:rPr>
          <w:rFonts w:hint="eastAsia" w:ascii="仿宋_GB2312" w:hAnsi="仿宋_GB2312" w:eastAsia="仿宋_GB2312"/>
          <w:b/>
          <w:bCs/>
          <w:sz w:val="32"/>
          <w:szCs w:val="32"/>
        </w:rPr>
        <w:t>项目资金使用效益，对环境、经济、社会的可持续影响</w:t>
      </w:r>
      <w:r>
        <w:rPr>
          <w:rFonts w:hint="eastAsia" w:ascii="仿宋_GB2312" w:hAnsi="仿宋_GB2312" w:eastAsia="仿宋_GB2312"/>
          <w:b/>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更好的完善发改局队伍建设，有效缓解单位专业人员不足的情况，本项目保障了后勤人员工资和五险一金的缴纳。按时发放发改业务办公费、维修维护等经费，进一步提升我发改业务水平。我局牵头起草《乳源瑶族自治县2023年国民经济和社会发展计划执行情况与2024年国民经济和社会发展计划草案的报告》《关于贯彻落实〈中共广东省委关于实施“百县千镇万村高质量发展工程”促进城乡区域协调发展的决定〉的实施方案》《关于全面推进“百县千镇万村高质量发展工程”促进城乡区域协调发展的行动方案》《乳源瑶族自治县“实施五镇城郊战略，发展半小时环城经济圈”推进城郊经济高质量实施方案》和《韶关市乳源瑶族自治县省纵向组团帮扶工作方案》等10多份综合性文件，为全县“百千万工程”任务目标提供了具体的举措。按照省市要求高质量完成“十四五”规划中期评估工作，围绕“十四五”规划和2035年远景目标，系统检视“十四五”规划实施以来执行情况，总结成绩、查找短板、剖析原因、提出对策，明确规划实施后半程的重点任务和要求，为县委县政府科学决策提供参考。</w:t>
      </w:r>
      <w:r>
        <w:rPr>
          <w:rFonts w:hint="eastAsia" w:ascii="仿宋_GB2312" w:hAnsi="仿宋_GB2312" w:eastAsia="仿宋_GB2312" w:cs="仿宋_GB2312"/>
          <w:b w:val="0"/>
          <w:bCs w:val="0"/>
          <w:sz w:val="32"/>
          <w:szCs w:val="32"/>
          <w:lang w:val="en-US" w:eastAsia="zh-CN"/>
        </w:rPr>
        <w:t>按照书记指示指导，2023年5月</w:t>
      </w:r>
      <w:r>
        <w:rPr>
          <w:rFonts w:hint="eastAsia" w:ascii="仿宋_GB2312" w:hAnsi="仿宋_GB2312" w:eastAsia="仿宋_GB2312" w:cs="仿宋_GB2312"/>
          <w:i w:val="0"/>
          <w:iCs w:val="0"/>
          <w:caps w:val="0"/>
          <w:color w:val="auto"/>
          <w:spacing w:val="0"/>
          <w:sz w:val="32"/>
          <w:szCs w:val="32"/>
          <w:shd w:val="clear" w:color="auto" w:fill="FFFFFF"/>
          <w:lang w:eastAsia="zh-CN"/>
        </w:rPr>
        <w:t>创新出台</w:t>
      </w:r>
      <w:r>
        <w:rPr>
          <w:rFonts w:hint="eastAsia" w:ascii="仿宋_GB2312" w:hAnsi="仿宋_GB2312" w:eastAsia="仿宋_GB2312" w:cs="仿宋_GB2312"/>
          <w:color w:val="auto"/>
          <w:kern w:val="2"/>
          <w:sz w:val="32"/>
          <w:szCs w:val="32"/>
          <w:lang w:val="en-US" w:eastAsia="zh-CN" w:bidi="ar-SA"/>
        </w:rPr>
        <w:t>《乳源瑶族自治县关于“不能说不行，要说怎么办”推动重大项目无障碍落地保障服务工作机制实施方案》，推行</w:t>
      </w:r>
      <w:r>
        <w:rPr>
          <w:rFonts w:hint="eastAsia" w:ascii="仿宋_GB2312" w:hAnsi="宋体" w:eastAsia="仿宋_GB2312" w:cs="仿宋_GB2312"/>
          <w:i w:val="0"/>
          <w:iCs w:val="0"/>
          <w:caps w:val="0"/>
          <w:color w:val="auto"/>
          <w:spacing w:val="0"/>
          <w:sz w:val="32"/>
          <w:szCs w:val="32"/>
          <w:shd w:val="clear" w:color="auto" w:fill="FFFFFF"/>
          <w:lang w:val="en-US" w:eastAsia="zh-CN"/>
        </w:rPr>
        <w:t>实施</w:t>
      </w:r>
      <w:r>
        <w:rPr>
          <w:rFonts w:hint="eastAsia" w:ascii="仿宋_GB2312" w:hAnsi="仿宋_GB2312" w:eastAsia="仿宋_GB2312" w:cs="仿宋_GB2312"/>
          <w:color w:val="auto"/>
          <w:kern w:val="2"/>
          <w:sz w:val="32"/>
          <w:szCs w:val="32"/>
          <w:lang w:val="en-US" w:eastAsia="zh-CN" w:bidi="ar-SA"/>
        </w:rPr>
        <w:t>领导干部“一线工作法”，同时统筹组织好项目落地的前期工作衔接、帮办代办、并联审批、“两统两分”、投资入统等十项闭环管理机制,推动项目加快落地建设。2023年67个重点建设项目全年完成投资38.77亿元，占年度计划的95.72%</w:t>
      </w:r>
      <w:r>
        <w:rPr>
          <w:rFonts w:hint="eastAsia" w:ascii="仿宋_GB2312" w:hAnsi="仿宋_GB2312" w:eastAsia="仿宋_GB2312" w:cs="仿宋_GB2312"/>
          <w:sz w:val="32"/>
          <w:szCs w:val="32"/>
          <w:lang w:val="en-US" w:eastAsia="zh-CN"/>
        </w:rPr>
        <w:t>。为提升</w:t>
      </w:r>
      <w:r>
        <w:rPr>
          <w:rFonts w:hint="eastAsia" w:ascii="仿宋_GB2312" w:hAnsi="仿宋_GB2312" w:eastAsia="仿宋_GB2312" w:cs="仿宋_GB2312"/>
          <w:color w:val="auto"/>
          <w:kern w:val="2"/>
          <w:sz w:val="32"/>
          <w:szCs w:val="32"/>
          <w:highlight w:val="none"/>
          <w:lang w:val="en-US" w:eastAsia="zh-CN" w:bidi="ar-SA"/>
        </w:rPr>
        <w:t>各项目牵头单位和要素保障部门的项目建设推动能力，我局联</w:t>
      </w:r>
      <w:r>
        <w:rPr>
          <w:rFonts w:hint="eastAsia" w:ascii="仿宋_GB2312" w:hAnsi="仿宋_GB2312" w:eastAsia="仿宋_GB2312" w:cs="仿宋_GB2312"/>
          <w:color w:val="auto"/>
          <w:kern w:val="2"/>
          <w:sz w:val="32"/>
          <w:szCs w:val="32"/>
          <w:lang w:val="en-US" w:eastAsia="zh-CN" w:bidi="ar-SA"/>
        </w:rPr>
        <w:t>合县委组织部在公务员全员培训工作中举办了5场业务培训，日常工作中也根据需要开展了2场前期工作和项目谋划方面的培训。</w:t>
      </w:r>
      <w:r>
        <w:rPr>
          <w:rFonts w:hint="eastAsia" w:ascii="仿宋_GB2312" w:hAnsi="仿宋_GB2312" w:eastAsia="仿宋_GB2312" w:cs="仿宋_GB2312"/>
          <w:color w:val="auto"/>
          <w:kern w:val="2"/>
          <w:sz w:val="32"/>
          <w:szCs w:val="32"/>
          <w:highlight w:val="none"/>
          <w:lang w:val="en-US" w:eastAsia="zh-CN" w:bidi="ar-SA"/>
        </w:rPr>
        <w:t>为提升项目审批备案效能，审批备案事项均从广东省投资项目在线监管平台上申报、审批、办结，并全面实现了企业投资备案“1日办结”。2023年市重点项目建设进度排名也从上半年的月月落后到年底的超额完成任务（完成年度投资计划的109.7%）而获市发改局书面表扬，市重大项目综合考核成绩也名列前茅，获市政府通报表扬，固定资产投资完成投资43.89亿元，增长9.4%，增速排全市第四名。</w:t>
      </w:r>
    </w:p>
    <w:p>
      <w:pPr>
        <w:spacing w:line="360" w:lineRule="auto"/>
        <w:ind w:firstLine="643" w:firstLineChars="200"/>
        <w:rPr>
          <w:rFonts w:hint="eastAsia" w:ascii="仿宋_GB2312" w:eastAsia="仿宋_GB2312"/>
          <w:sz w:val="32"/>
          <w:szCs w:val="32"/>
          <w:lang w:val="en-US" w:eastAsia="zh-CN"/>
        </w:rPr>
      </w:pPr>
      <w:r>
        <w:rPr>
          <w:rFonts w:hint="eastAsia" w:ascii="仿宋_GB2312" w:eastAsia="仿宋_GB2312"/>
          <w:b/>
          <w:bCs/>
          <w:sz w:val="32"/>
          <w:szCs w:val="32"/>
        </w:rPr>
        <w:t>（二）存在问题</w:t>
      </w:r>
      <w:r>
        <w:rPr>
          <w:rFonts w:hint="eastAsia" w:ascii="仿宋_GB2312" w:eastAsia="仿宋_GB2312"/>
          <w:b/>
          <w:bCs/>
          <w:sz w:val="32"/>
          <w:szCs w:val="32"/>
          <w:lang w:val="en-US" w:eastAsia="zh-CN"/>
        </w:rPr>
        <w:t xml:space="preserve">  </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在充分肯定成绩的同时，我们</w:t>
      </w:r>
      <w:r>
        <w:rPr>
          <w:rFonts w:hint="eastAsia" w:ascii="仿宋_GB2312" w:hAnsi="仿宋_GB2312" w:eastAsia="仿宋_GB2312" w:cs="仿宋_GB2312"/>
          <w:sz w:val="32"/>
          <w:szCs w:val="32"/>
          <w:lang w:val="en-US" w:eastAsia="zh-CN"/>
        </w:rPr>
        <w:t>还存在一些短板</w:t>
      </w:r>
      <w:r>
        <w:rPr>
          <w:rFonts w:hint="eastAsia" w:ascii="仿宋_GB2312" w:hAnsi="仿宋_GB2312" w:eastAsia="仿宋_GB2312" w:cs="仿宋_GB2312"/>
          <w:sz w:val="32"/>
          <w:szCs w:val="32"/>
        </w:rPr>
        <w:t>和问题，比如，抢机遇、抢政策的冲劲和强度还不够，指导基层谋划储备项目的力度还不足；思想破冰、发展突围还不充分，创新开展工作的办法和措施不多，部分业务领域的前瞻性、预警性存在短板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对于这些问题，</w:t>
      </w:r>
      <w:r>
        <w:rPr>
          <w:rFonts w:hint="eastAsia" w:ascii="仿宋_GB2312" w:hAnsi="仿宋_GB2312" w:eastAsia="仿宋_GB2312" w:cs="仿宋_GB2312"/>
          <w:sz w:val="32"/>
          <w:szCs w:val="32"/>
          <w:lang w:val="en-US" w:eastAsia="zh-CN"/>
        </w:rPr>
        <w:t>我们在下一步的工作中会</w:t>
      </w:r>
      <w:r>
        <w:rPr>
          <w:rFonts w:hint="eastAsia" w:ascii="仿宋_GB2312" w:hAnsi="仿宋_GB2312" w:eastAsia="仿宋_GB2312" w:cs="仿宋_GB2312"/>
          <w:sz w:val="32"/>
          <w:szCs w:val="32"/>
        </w:rPr>
        <w:t>高度重视，有针对性地加以解决。</w:t>
      </w:r>
    </w:p>
    <w:p>
      <w:pPr>
        <w:spacing w:line="360" w:lineRule="auto"/>
        <w:ind w:firstLine="643" w:firstLineChars="200"/>
        <w:rPr>
          <w:rFonts w:hint="eastAsia" w:ascii="黑体" w:eastAsia="黑体"/>
          <w:b/>
          <w:bCs/>
          <w:sz w:val="32"/>
          <w:szCs w:val="32"/>
          <w:lang w:eastAsia="zh-CN"/>
        </w:rPr>
      </w:pPr>
      <w:r>
        <w:rPr>
          <w:rFonts w:hint="eastAsia" w:ascii="黑体" w:eastAsia="黑体"/>
          <w:b/>
          <w:bCs/>
          <w:sz w:val="32"/>
          <w:szCs w:val="32"/>
        </w:rPr>
        <w:t>三、改进</w:t>
      </w:r>
      <w:r>
        <w:rPr>
          <w:rFonts w:hint="eastAsia" w:ascii="黑体" w:eastAsia="黑体"/>
          <w:b/>
          <w:bCs/>
          <w:sz w:val="32"/>
          <w:szCs w:val="32"/>
          <w:lang w:eastAsia="zh-CN"/>
        </w:rPr>
        <w:t>措施</w:t>
      </w:r>
    </w:p>
    <w:p>
      <w:pPr>
        <w:spacing w:line="240" w:lineRule="auto"/>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围绕我县固定资产投资增长6%的年度任务目标，科学细致开展投资摸底排查，提早组织协同相关单位做好项目投资摸排及提早布置月度任务分解，指导项目单位、企业进一步挖掘投资潜力，再大困难也要争取千方百计实现“开门红”。同时精心谋划、梳理储备新增入库项目，推动形成谋划一批、储备一批、入库一批的项目梯次推进格局。</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统筹推进重点项目建设，以无障碍落地服务保障机制为抓手，制定重点项目推进表、要素保障表等限时作战图，坚持以问题导向突破项目建设的瓶颈制约，特别是要加强对项目单位的业务指导，加强对项目前期工作的指导跟进协调（上周已组织一次协调会），推动年度重大项目快落地、快开工、快建设、快入库。</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充分发挥政府投资的撬动作用，紧密跟进2024年专项债和国债项目，以开工时间作为目标节点倒排工期，加强日常调度和管理，争取各项前期环节工作前置，提升资金支出效率。今年提早到三月份开始谋划2025年储备项目，避免再发生2024年的项目储备不足问题。</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pStyle w:val="2"/>
        <w:numPr>
          <w:ilvl w:val="0"/>
          <w:numId w:val="0"/>
        </w:numPr>
        <w:rPr>
          <w:rFonts w:hint="eastAsia"/>
          <w:lang w:val="en-US" w:eastAsia="zh-CN"/>
        </w:rPr>
      </w:pPr>
    </w:p>
    <w:p>
      <w:pPr>
        <w:pStyle w:val="4"/>
        <w:jc w:val="right"/>
        <w:rPr>
          <w:rFonts w:hint="eastAsia" w:ascii="仿宋_GB2312" w:hAnsi="仿宋_GB2312" w:eastAsia="仿宋_GB2312" w:cs="仿宋_GB2312"/>
          <w:sz w:val="32"/>
          <w:szCs w:val="32"/>
        </w:rPr>
      </w:pPr>
    </w:p>
    <w:p>
      <w:pPr>
        <w:pStyle w:val="4"/>
        <w:jc w:val="right"/>
        <w:rPr>
          <w:rFonts w:hint="eastAsia" w:ascii="仿宋_GB2312" w:hAnsi="仿宋_GB2312" w:cs="仿宋_GB2312"/>
          <w:sz w:val="32"/>
          <w:szCs w:val="32"/>
          <w:lang w:eastAsia="zh-CN"/>
        </w:rPr>
      </w:pPr>
      <w:r>
        <w:rPr>
          <w:rFonts w:hint="eastAsia" w:ascii="仿宋_GB2312" w:hAnsi="仿宋_GB2312" w:cs="仿宋_GB2312"/>
          <w:sz w:val="32"/>
          <w:szCs w:val="32"/>
          <w:lang w:eastAsia="zh-CN"/>
        </w:rPr>
        <w:t>乳源瑶族自治县发展和改革局</w:t>
      </w:r>
    </w:p>
    <w:p>
      <w:pPr>
        <w:pStyle w:val="4"/>
        <w:jc w:val="center"/>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w:t>
      </w:r>
    </w:p>
    <w:p>
      <w:pPr>
        <w:pStyle w:val="4"/>
        <w:jc w:val="center"/>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2023年3月15日</w:t>
      </w:r>
    </w:p>
    <w:sectPr>
      <w:pgSz w:w="11906" w:h="16838"/>
      <w:pgMar w:top="1497" w:right="1800" w:bottom="1440" w:left="131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9F3DB"/>
    <w:multiLevelType w:val="singleLevel"/>
    <w:tmpl w:val="B6A9F3DB"/>
    <w:lvl w:ilvl="0" w:tentative="0">
      <w:start w:val="2"/>
      <w:numFmt w:val="chineseCounting"/>
      <w:suff w:val="nothing"/>
      <w:lvlText w:val="%1、"/>
      <w:lvlJc w:val="left"/>
      <w:rPr>
        <w:rFonts w:hint="eastAsia"/>
      </w:rPr>
    </w:lvl>
  </w:abstractNum>
  <w:abstractNum w:abstractNumId="1">
    <w:nsid w:val="F968B455"/>
    <w:multiLevelType w:val="singleLevel"/>
    <w:tmpl w:val="F968B45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10A5F5E"/>
    <w:rsid w:val="031B09F4"/>
    <w:rsid w:val="04CF2B34"/>
    <w:rsid w:val="0530678A"/>
    <w:rsid w:val="05811997"/>
    <w:rsid w:val="090D3F79"/>
    <w:rsid w:val="09A86B36"/>
    <w:rsid w:val="0E787B6F"/>
    <w:rsid w:val="1301785B"/>
    <w:rsid w:val="13C37EB0"/>
    <w:rsid w:val="18F56939"/>
    <w:rsid w:val="1A9C4C17"/>
    <w:rsid w:val="1BEA0FB0"/>
    <w:rsid w:val="1F75351D"/>
    <w:rsid w:val="1F7540EA"/>
    <w:rsid w:val="21347142"/>
    <w:rsid w:val="23902BED"/>
    <w:rsid w:val="27986411"/>
    <w:rsid w:val="2A0C3112"/>
    <w:rsid w:val="2B093182"/>
    <w:rsid w:val="2BB514E9"/>
    <w:rsid w:val="2EE5619F"/>
    <w:rsid w:val="31F06F56"/>
    <w:rsid w:val="335023CD"/>
    <w:rsid w:val="380B7A6B"/>
    <w:rsid w:val="38176643"/>
    <w:rsid w:val="38E35203"/>
    <w:rsid w:val="39921607"/>
    <w:rsid w:val="468762A1"/>
    <w:rsid w:val="46AE2026"/>
    <w:rsid w:val="4B2F5217"/>
    <w:rsid w:val="4B8034B1"/>
    <w:rsid w:val="502C7732"/>
    <w:rsid w:val="5375086E"/>
    <w:rsid w:val="54830B40"/>
    <w:rsid w:val="567C6D98"/>
    <w:rsid w:val="599C2D39"/>
    <w:rsid w:val="5BA27708"/>
    <w:rsid w:val="5C68688B"/>
    <w:rsid w:val="5D8F6B57"/>
    <w:rsid w:val="63B67016"/>
    <w:rsid w:val="66577D61"/>
    <w:rsid w:val="667D41EA"/>
    <w:rsid w:val="684E3DC9"/>
    <w:rsid w:val="6D772EA7"/>
    <w:rsid w:val="6E5A2715"/>
    <w:rsid w:val="6F517EA7"/>
    <w:rsid w:val="701C5945"/>
    <w:rsid w:val="72337EAE"/>
    <w:rsid w:val="778D7D18"/>
    <w:rsid w:val="783C1BB5"/>
    <w:rsid w:val="78AA2807"/>
    <w:rsid w:val="7C624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3"/>
    <w:next w:val="1"/>
    <w:unhideWhenUsed/>
    <w:qFormat/>
    <w:uiPriority w:val="0"/>
    <w:pPr>
      <w:widowControl w:val="0"/>
      <w:spacing w:beforeAutospacing="0" w:afterAutospacing="0"/>
      <w:ind w:firstLine="880" w:firstLineChars="200"/>
      <w:jc w:val="left"/>
      <w:outlineLvl w:val="2"/>
    </w:pPr>
    <w:rPr>
      <w:rFonts w:ascii="宋体" w:hAnsi="宋体" w:eastAsia="仿宋_GB2312" w:cs="宋体"/>
      <w:b/>
      <w:bCs/>
      <w:kern w:val="0"/>
      <w:sz w:val="32"/>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4">
    <w:name w:val="Body Text"/>
    <w:basedOn w:val="1"/>
    <w:unhideWhenUsed/>
    <w:qFormat/>
    <w:uiPriority w:val="99"/>
    <w:pPr>
      <w:widowControl w:val="0"/>
      <w:spacing w:line="320" w:lineRule="exact"/>
      <w:jc w:val="center"/>
    </w:pPr>
    <w:rPr>
      <w:rFonts w:ascii="Calibri" w:hAnsi="Calibri" w:eastAsia="仿宋_GB2312" w:cs="Times New Roman"/>
      <w:kern w:val="2"/>
      <w:sz w:val="32"/>
      <w:szCs w:val="24"/>
      <w:lang w:val="en-US" w:eastAsia="zh-CN" w:bidi="ar-SA"/>
    </w:rPr>
  </w:style>
  <w:style w:type="paragraph" w:styleId="5">
    <w:name w:val="Plain Text"/>
    <w:basedOn w:val="1"/>
    <w:next w:val="1"/>
    <w:qFormat/>
    <w:uiPriority w:val="0"/>
    <w:rPr>
      <w:rFonts w:ascii="宋体" w:hAnsi="Courier New" w:cs="Courier New"/>
      <w:szCs w:val="21"/>
    </w:rPr>
  </w:style>
  <w:style w:type="paragraph" w:styleId="6">
    <w:name w:val="footer"/>
    <w:basedOn w:val="1"/>
    <w:link w:val="13"/>
    <w:semiHidden/>
    <w:unhideWhenUsed/>
    <w:qFormat/>
    <w:uiPriority w:val="99"/>
    <w:pPr>
      <w:tabs>
        <w:tab w:val="center" w:pos="4153"/>
        <w:tab w:val="right" w:pos="8306"/>
      </w:tabs>
      <w:snapToGrid w:val="0"/>
      <w:jc w:val="left"/>
    </w:pPr>
    <w:rPr>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customStyle="1" w:styleId="12">
    <w:name w:val="页眉 Char"/>
    <w:basedOn w:val="10"/>
    <w:link w:val="7"/>
    <w:semiHidden/>
    <w:qFormat/>
    <w:uiPriority w:val="99"/>
    <w:rPr>
      <w:rFonts w:ascii="Times New Roman" w:hAnsi="Times New Roman" w:eastAsia="宋体" w:cs="Times New Roman"/>
      <w:sz w:val="18"/>
      <w:szCs w:val="18"/>
    </w:rPr>
  </w:style>
  <w:style w:type="character" w:customStyle="1" w:styleId="13">
    <w:name w:val="页脚 Char"/>
    <w:basedOn w:val="10"/>
    <w:link w:val="6"/>
    <w:semiHidden/>
    <w:qFormat/>
    <w:uiPriority w:val="99"/>
    <w:rPr>
      <w:rFonts w:ascii="Times New Roman" w:hAnsi="Times New Roman" w:eastAsia="宋体" w:cs="Times New Roman"/>
      <w:sz w:val="18"/>
      <w:szCs w:val="18"/>
    </w:rPr>
  </w:style>
  <w:style w:type="paragraph" w:customStyle="1" w:styleId="14">
    <w:name w:val="p0"/>
    <w:basedOn w:val="1"/>
    <w:qFormat/>
    <w:uiPriority w:val="0"/>
    <w:pPr>
      <w:widowControl/>
    </w:pPr>
    <w:rPr>
      <w:rFonts w:hint="eastAsia"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1887</Words>
  <Characters>2030</Characters>
  <Lines>1</Lines>
  <Paragraphs>1</Paragraphs>
  <TotalTime>1</TotalTime>
  <ScaleCrop>false</ScaleCrop>
  <LinksUpToDate>false</LinksUpToDate>
  <CharactersWithSpaces>2079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2024-03-26T02:45:30Z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77705F9BE9E2441E8F374F6DA4ED6D38</vt:lpwstr>
  </property>
</Properties>
</file>