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重点建设项目管理办公室主要职责是：规划重点项目布局；拟订县重点项目年度投资计划；综合协调重点项目建设，督促检查县重点建设项目计划执行；协调处理县重点项目建设实施过程中的重大问题，提出县重点项目管理政策建议；负责相关行业和县政府贯彻执行国家投资政策和规定的检查工作；指导协调政府与社会资本合作模式的县级项目推进工作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</w:pPr>
      <w:r>
        <w:rPr>
          <w:rFonts w:hint="eastAsia" w:ascii="仿宋_GB2312" w:hAnsi="仿宋_GB2312" w:eastAsia="仿宋_GB2312" w:cs="Times New Roman"/>
          <w:sz w:val="32"/>
          <w:szCs w:val="32"/>
        </w:rPr>
        <w:t>我</w:t>
      </w:r>
      <w:r>
        <w:rPr>
          <w:rFonts w:hint="eastAsia" w:ascii="仿宋_GB2312" w:hAnsi="仿宋_GB2312" w:eastAsia="仿宋_GB2312" w:cs="Times New Roman"/>
          <w:sz w:val="32"/>
          <w:szCs w:val="32"/>
          <w:lang w:eastAsia="zh-CN"/>
        </w:rPr>
        <w:t>局</w:t>
      </w:r>
      <w:r>
        <w:rPr>
          <w:rFonts w:hint="eastAsia" w:ascii="仿宋_GB2312" w:hAnsi="仿宋_GB2312" w:eastAsia="仿宋_GB2312" w:cs="Times New Roman"/>
          <w:sz w:val="32"/>
          <w:szCs w:val="32"/>
        </w:rPr>
        <w:t>该项目资金按事项完成进度支付资金，事项支出及会计核算均按规范合规处理。</w:t>
      </w:r>
      <w:r>
        <w:rPr>
          <w:rFonts w:hint="eastAsia" w:ascii="仿宋_GB2312" w:hAnsi="仿宋_GB2312" w:eastAsia="仿宋_GB2312" w:cs="Times New Roman"/>
          <w:sz w:val="32"/>
          <w:szCs w:val="32"/>
          <w:lang w:eastAsia="zh-CN"/>
        </w:rPr>
        <w:t>我局</w:t>
      </w:r>
      <w:r>
        <w:rPr>
          <w:rFonts w:hint="eastAsia" w:ascii="仿宋_GB2312" w:hAnsi="仿宋_GB2312" w:eastAsia="仿宋_GB2312" w:cs="Times New Roman"/>
          <w:sz w:val="32"/>
          <w:szCs w:val="32"/>
        </w:rPr>
        <w:t>为保证专项资金的使用合规有效，建立了有效管理机制，对于项目建设开展了定期检查。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</w:pPr>
      <w:r>
        <w:rPr>
          <w:rFonts w:hint="eastAsia" w:ascii="仿宋_GB2312" w:eastAsia="仿宋_GB2312"/>
          <w:sz w:val="32"/>
          <w:szCs w:val="32"/>
        </w:rPr>
        <w:t>项目绩效自评</w:t>
      </w:r>
      <w:r>
        <w:rPr>
          <w:rFonts w:hint="eastAsia" w:ascii="仿宋_GB2312" w:eastAsia="仿宋_GB2312"/>
          <w:sz w:val="32"/>
          <w:szCs w:val="32"/>
          <w:lang w:eastAsia="zh-CN"/>
        </w:rPr>
        <w:t>机制</w:t>
      </w:r>
      <w:r>
        <w:rPr>
          <w:rFonts w:hint="eastAsia" w:ascii="仿宋_GB2312" w:eastAsia="仿宋_GB2312"/>
          <w:sz w:val="32"/>
          <w:szCs w:val="32"/>
        </w:rPr>
        <w:t>对整个项目的实施进行了整体跟踪，自评得分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分，自评等级为优。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根据乳财[2023]4号 关于批复2023年部门预算的通知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1、2023年初预算批复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重点项目工作</w:t>
      </w:r>
      <w:r>
        <w:rPr>
          <w:rFonts w:hint="eastAsia" w:ascii="仿宋_GB2312" w:hAnsi="仿宋_GB2312" w:eastAsia="仿宋_GB2312"/>
          <w:sz w:val="32"/>
          <w:szCs w:val="32"/>
        </w:rPr>
        <w:t>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150000</w:t>
      </w:r>
      <w:r>
        <w:rPr>
          <w:rFonts w:hint="eastAsia" w:ascii="仿宋_GB2312" w:hAnsi="仿宋_GB2312" w:eastAsia="仿宋_GB2312"/>
          <w:sz w:val="32"/>
          <w:szCs w:val="32"/>
        </w:rPr>
        <w:t>元，根据乳源瑶族自治县人民政府办公室关于印发《乳源瑶族自治县2023年压减部门预算支出工作方案》的通知要求，本单位按照文件要求压减了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147</w:t>
      </w:r>
      <w:r>
        <w:rPr>
          <w:rFonts w:hint="eastAsia" w:ascii="仿宋_GB2312" w:hAnsi="仿宋_GB2312" w:eastAsia="仿宋_GB2312"/>
          <w:sz w:val="32"/>
          <w:szCs w:val="32"/>
        </w:rPr>
        <w:t>元，实际投入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149853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：完成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4个季度重点项目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开竣工活动费用约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12.5万元，下乡补贴及差旅费用1万元，招商引资接待费约1.48万元。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进度达到100%。2023年安排县重点建设项目67个，总投资248.31亿元，全年完成投资38.77亿元，完成年度投资计划的95.72%。其中，新建项目30个，年度计划投资15.08亿元，完成投资11.09亿元；续建项目37个，年度计划投资25.42亿元，完成投资27.68亿元。省、市重点项目23个，年度计划投资22.57亿元，完成投资24.3亿元，完成年度计划107.69%。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全力推动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县域</w:t>
      </w:r>
      <w:r>
        <w:rPr>
          <w:rFonts w:hint="eastAsia" w:ascii="仿宋_GB2312" w:hAnsi="仿宋_GB2312" w:eastAsia="仿宋_GB2312" w:cs="仿宋_GB2312"/>
          <w:sz w:val="32"/>
          <w:szCs w:val="32"/>
        </w:rPr>
        <w:t>经济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高质量发展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</w:t>
      </w:r>
      <w:r>
        <w:rPr>
          <w:rFonts w:hint="eastAsia" w:ascii="仿宋_GB2312" w:eastAsia="仿宋_GB2312"/>
          <w:sz w:val="32"/>
          <w:szCs w:val="32"/>
          <w:lang w:eastAsia="zh-CN"/>
        </w:rPr>
        <w:t>长期持续对我县经济向好影响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（2）政治效益：项目</w:t>
      </w:r>
      <w:r>
        <w:rPr>
          <w:rFonts w:hint="eastAsia" w:ascii="仿宋_GB2312" w:eastAsia="仿宋_GB2312"/>
          <w:sz w:val="32"/>
          <w:szCs w:val="32"/>
          <w:lang w:eastAsia="zh-CN"/>
        </w:rPr>
        <w:t>平稳发展</w:t>
      </w:r>
      <w:r>
        <w:rPr>
          <w:rFonts w:hint="eastAsia" w:ascii="仿宋_GB2312" w:eastAsia="仿宋_GB2312"/>
          <w:sz w:val="32"/>
          <w:szCs w:val="32"/>
        </w:rPr>
        <w:t>的推动社会政治的稳定。</w:t>
      </w:r>
    </w:p>
    <w:p>
      <w:pPr>
        <w:spacing w:line="360" w:lineRule="auto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（3）社会效益：项目的推动改善当地社会</w:t>
      </w:r>
      <w:r>
        <w:rPr>
          <w:rFonts w:hint="eastAsia" w:ascii="仿宋_GB2312" w:eastAsia="仿宋_GB2312"/>
          <w:sz w:val="32"/>
          <w:szCs w:val="32"/>
          <w:lang w:eastAsia="zh-CN"/>
        </w:rPr>
        <w:t>投资环节及提高生活水平；获上级表扬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pStyle w:val="2"/>
        <w:rPr>
          <w:rFonts w:hint="eastAsia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48196D"/>
    <w:multiLevelType w:val="singleLevel"/>
    <w:tmpl w:val="F948196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102607D"/>
    <w:rsid w:val="10D955AA"/>
    <w:rsid w:val="1BEA0FB0"/>
    <w:rsid w:val="1DC74F17"/>
    <w:rsid w:val="1E7F4E88"/>
    <w:rsid w:val="221E37F7"/>
    <w:rsid w:val="27AC45D6"/>
    <w:rsid w:val="2A0C3112"/>
    <w:rsid w:val="338B7116"/>
    <w:rsid w:val="354A4492"/>
    <w:rsid w:val="39921607"/>
    <w:rsid w:val="40A279B8"/>
    <w:rsid w:val="468762A1"/>
    <w:rsid w:val="5375086E"/>
    <w:rsid w:val="567D48F7"/>
    <w:rsid w:val="69056F1C"/>
    <w:rsid w:val="70786511"/>
    <w:rsid w:val="A7FFD81E"/>
    <w:rsid w:val="D87E4B9D"/>
    <w:rsid w:val="FADF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widowControl w:val="0"/>
      <w:spacing w:line="320" w:lineRule="exact"/>
      <w:jc w:val="center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2016-12-02T15:04:00Z</dcterms:created>
  <dc:creator>lenovo</dc:creator>
  <cp:lastModifiedBy>Administrator</cp:lastModifiedBy>
  <cp:lastPrinted>2018-10-26T10:57:00Z</cp:lastPrinted>
  <dcterms:modified xsi:type="dcterms:W3CDTF">2024-09-14T02:17:19Z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1717E8DC7EDC4E47A58B855F9567C78C</vt:lpwstr>
  </property>
</Properties>
</file>