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黑体" w:eastAsia="仿宋_GB2312"/>
          <w:sz w:val="32"/>
          <w:szCs w:val="32"/>
          <w:lang w:eastAsia="zh-CN"/>
        </w:rPr>
      </w:pPr>
      <w:r>
        <w:rPr>
          <w:rFonts w:hint="eastAsia" w:ascii="仿宋_GB2312" w:eastAsia="仿宋_GB2312"/>
          <w:sz w:val="32"/>
          <w:szCs w:val="32"/>
        </w:rPr>
        <w:t>（一）项目用款单位简要情况。</w:t>
      </w:r>
      <w:r>
        <w:rPr>
          <w:rFonts w:hint="eastAsia" w:ascii="仿宋_GB2312" w:hAnsi="仿宋_GB2312" w:eastAsia="仿宋_GB2312" w:cs="仿宋_GB2312"/>
          <w:sz w:val="32"/>
          <w:szCs w:val="32"/>
          <w:lang w:val="en-US" w:eastAsia="zh-CN"/>
        </w:rPr>
        <w:t>能源办负责具体职能是：一是负责全县油气管道建设协调、运营及监管；二是负责全县加油站规划、建设、年检及日常运营监管；三是负责县年度节能考核；四是县能源消费总量及强度（“双控”）管理。在此项工作中，我办需负责县中长期能源发展规划制定及落实，年度能源消费增长预测及预警，配合市局开展能源监察等工作。五是负责全县电力部门行业监管及新能源充电桩建设以及农电改造工作；六是负责全县风电、光伏等新能源建设和管理；七是负责对接上级单位安全生产日常管理和考核；九是能源项目谋划、协调和建设工作。</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rPr>
        <w:t>（二）项目实施主要内容及实施程序。</w:t>
      </w:r>
      <w:r>
        <w:rPr>
          <w:rFonts w:hint="eastAsia" w:ascii="仿宋_GB2312" w:eastAsia="仿宋_GB2312"/>
          <w:sz w:val="32"/>
          <w:szCs w:val="32"/>
          <w:lang w:val="en-US" w:eastAsia="zh-CN"/>
        </w:rPr>
        <w:t>2023年度节能监察经费主要用于扩大社会节能宣传，组织开展县级节能培训。配合上级单位完成重点用能企业和公共机构节能监察，完成全县能源“双控”目标所差产生的相关差旅费以及下乡检查等经费。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r>
        <w:rPr>
          <w:rFonts w:hint="eastAsia" w:ascii="仿宋_GB2312" w:eastAsia="仿宋_GB2312"/>
          <w:sz w:val="32"/>
          <w:szCs w:val="32"/>
          <w:lang w:eastAsia="zh-CN"/>
        </w:rPr>
        <w:t>自评得分：</w:t>
      </w:r>
      <w:r>
        <w:rPr>
          <w:rFonts w:hint="eastAsia" w:ascii="仿宋_GB2312" w:eastAsia="仿宋_GB2312"/>
          <w:sz w:val="32"/>
          <w:szCs w:val="32"/>
          <w:lang w:val="en-US" w:eastAsia="zh-CN"/>
        </w:rPr>
        <w:t>100分，</w:t>
      </w:r>
      <w:r>
        <w:rPr>
          <w:rFonts w:hint="eastAsia" w:ascii="仿宋_GB2312" w:eastAsia="仿宋_GB2312"/>
          <w:sz w:val="32"/>
          <w:szCs w:val="32"/>
        </w:rPr>
        <w:t>自评等级为优</w:t>
      </w:r>
      <w:r>
        <w:rPr>
          <w:rFonts w:hint="eastAsia" w:ascii="仿宋_GB2312" w:eastAsia="仿宋_GB2312"/>
          <w:sz w:val="32"/>
          <w:szCs w:val="32"/>
          <w:lang w:eastAsia="zh-CN"/>
        </w:rPr>
        <w:t>。</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r>
        <w:rPr>
          <w:rFonts w:hint="eastAsia" w:ascii="仿宋_GB2312" w:hAnsi="仿宋_GB2312" w:eastAsia="仿宋_GB2312" w:cs="仿宋_GB2312"/>
          <w:sz w:val="32"/>
          <w:szCs w:val="32"/>
          <w:lang w:eastAsia="zh-CN"/>
        </w:rPr>
        <w:t>按照县财政局（乳财〔2023〕4号）《</w:t>
      </w:r>
      <w:r>
        <w:rPr>
          <w:rFonts w:hint="eastAsia" w:ascii="仿宋_GB2312" w:hAnsi="仿宋_GB2312" w:eastAsia="仿宋_GB2312" w:cs="仿宋_GB2312"/>
          <w:sz w:val="32"/>
          <w:szCs w:val="32"/>
        </w:rPr>
        <w:t>关于批复2023年部门预算的通知</w:t>
      </w:r>
      <w:r>
        <w:rPr>
          <w:rFonts w:hint="eastAsia" w:ascii="仿宋_GB2312" w:hAnsi="仿宋_GB2312" w:eastAsia="仿宋_GB2312" w:cs="仿宋_GB2312"/>
          <w:sz w:val="32"/>
          <w:szCs w:val="32"/>
          <w:lang w:eastAsia="zh-CN"/>
        </w:rPr>
        <w:t>》，节能监察工作经费批复</w:t>
      </w:r>
      <w:r>
        <w:rPr>
          <w:rFonts w:hint="eastAsia" w:ascii="仿宋_GB2312" w:hAnsi="仿宋_GB2312" w:eastAsia="仿宋_GB2312" w:cs="仿宋_GB2312"/>
          <w:sz w:val="32"/>
          <w:szCs w:val="32"/>
          <w:lang w:val="en-US" w:eastAsia="zh-CN"/>
        </w:rPr>
        <w:t>10000元。</w:t>
      </w:r>
    </w:p>
    <w:p>
      <w:pPr>
        <w:spacing w:line="360" w:lineRule="auto"/>
        <w:ind w:firstLine="640" w:firstLineChars="200"/>
        <w:rPr>
          <w:rFonts w:hint="default" w:ascii="仿宋_GB2312" w:eastAsia="仿宋_GB2312"/>
          <w:sz w:val="32"/>
          <w:szCs w:val="32"/>
          <w:highlight w:val="none"/>
          <w:lang w:val="en-US" w:eastAsia="zh-CN"/>
        </w:rPr>
      </w:pPr>
      <w:r>
        <w:rPr>
          <w:rFonts w:hint="eastAsia" w:ascii="仿宋_GB2312" w:hAnsi="仿宋_GB2312" w:eastAsia="仿宋_GB2312"/>
          <w:sz w:val="32"/>
          <w:szCs w:val="32"/>
        </w:rPr>
        <w:t>2、项目资金实际支出情况，具体详细说明。</w:t>
      </w:r>
      <w:r>
        <w:rPr>
          <w:rFonts w:hint="eastAsia" w:ascii="仿宋_GB2312" w:hAnsi="仿宋_GB2312" w:eastAsia="仿宋_GB2312"/>
          <w:sz w:val="32"/>
          <w:szCs w:val="32"/>
          <w:lang w:val="en-US" w:eastAsia="zh-CN"/>
        </w:rPr>
        <w:t>2023年度节能监察支出体现在：</w:t>
      </w:r>
      <w:r>
        <w:rPr>
          <w:rFonts w:hint="eastAsia" w:ascii="仿宋_GB2312" w:eastAsia="仿宋_GB2312"/>
          <w:sz w:val="32"/>
          <w:szCs w:val="32"/>
          <w:highlight w:val="none"/>
          <w:lang w:val="en-US" w:eastAsia="zh-CN"/>
        </w:rPr>
        <w:t>工作人员出差以及下乡补助支出标准50-120元每人。差旅费等共支出10000元，</w:t>
      </w:r>
      <w:r>
        <w:rPr>
          <w:rFonts w:hint="eastAsia" w:ascii="仿宋_GB2312" w:hAnsi="仿宋_GB2312" w:eastAsia="仿宋_GB2312" w:cs="仿宋_GB2312"/>
          <w:sz w:val="32"/>
          <w:szCs w:val="32"/>
          <w:lang w:val="en-US" w:eastAsia="zh-CN"/>
        </w:rPr>
        <w:t>支出进度达到100%。</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r>
        <w:rPr>
          <w:rFonts w:hint="eastAsia" w:ascii="仿宋_GB2312" w:hAnsi="仿宋_GB2312" w:eastAsia="仿宋_GB2312"/>
          <w:sz w:val="32"/>
          <w:szCs w:val="32"/>
          <w:lang w:eastAsia="zh-CN"/>
        </w:rPr>
        <w:t>认真开展节能宣传工作，取得良好社会效益。完成全县千吨用能以上企业节能监察全覆盖。</w:t>
      </w:r>
    </w:p>
    <w:p>
      <w:pPr>
        <w:pStyle w:val="2"/>
        <w:keepNext w:val="0"/>
        <w:keepLines w:val="0"/>
        <w:pageBreakBefore w:val="0"/>
        <w:widowControl w:val="0"/>
        <w:numPr>
          <w:ilvl w:val="0"/>
          <w:numId w:val="0"/>
        </w:numPr>
        <w:kinsoku/>
        <w:wordWrap/>
        <w:overflowPunct/>
        <w:topLinePunct w:val="0"/>
        <w:autoSpaceDE/>
        <w:autoSpaceDN/>
        <w:bidi w:val="0"/>
        <w:adjustRightInd/>
        <w:snapToGrid/>
        <w:ind w:left="319" w:leftChars="152" w:firstLine="320" w:firstLineChars="100"/>
        <w:jc w:val="both"/>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rPr>
        <w:t>4、项目资金使用效益，对环境、经济、社会的可持续影</w:t>
      </w:r>
      <w:r>
        <w:rPr>
          <w:rFonts w:hint="eastAsia" w:ascii="仿宋_GB2312" w:hAnsi="仿宋_GB2312" w:eastAsia="仿宋_GB2312"/>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ascii="仿宋_GB2312" w:eastAsia="仿宋_GB2312"/>
          <w:sz w:val="32"/>
          <w:szCs w:val="32"/>
        </w:rPr>
      </w:pPr>
      <w:r>
        <w:rPr>
          <w:rFonts w:hint="eastAsia" w:ascii="仿宋_GB2312" w:hAnsi="仿宋_GB2312" w:eastAsia="仿宋_GB2312" w:cs="仿宋_GB2312"/>
          <w:b w:val="0"/>
          <w:bCs w:val="0"/>
          <w:kern w:val="2"/>
          <w:sz w:val="32"/>
          <w:szCs w:val="32"/>
          <w:lang w:val="en-US" w:eastAsia="zh-CN"/>
        </w:rPr>
        <w:t>按照节能“双控”目标开展能源管理工作，全面完成违法违规用能整改，指导协助8个项目完成节能审查报批工作，推动11家年用能5000吨标煤以上企业完成用能三级计量安装，实现在线实时监测，同时对招商引资洽谈中的相关项目提前介入开展用能预评估，有效遏制“两高”项目盲目上马。有序推进节约型公共机构创建工作，截至2023年，已提前两年完成上级布置的“十四五”期间创建率不低于80%的目标任务。2023年度，我县能源消费总量为97.26万</w:t>
      </w:r>
      <w:bookmarkStart w:id="0" w:name="_GoBack"/>
      <w:bookmarkEnd w:id="0"/>
      <w:r>
        <w:rPr>
          <w:rFonts w:hint="eastAsia" w:ascii="仿宋_GB2312" w:hAnsi="仿宋_GB2312" w:eastAsia="仿宋_GB2312" w:cs="仿宋_GB2312"/>
          <w:b w:val="0"/>
          <w:bCs w:val="0"/>
          <w:kern w:val="2"/>
          <w:sz w:val="32"/>
          <w:szCs w:val="32"/>
          <w:lang w:val="en-US" w:eastAsia="zh-CN"/>
        </w:rPr>
        <w:t>吨标煤，万元GDP能耗较上年下降0.09%，2022和2023是“十三五”以来实现能源单耗下降的唯有两年。</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（二）存在问题。</w:t>
      </w: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节能监察工作面临资金不足，无法进一步满足新业态、新质生产力发展需要</w:t>
      </w:r>
      <w:r>
        <w:rPr>
          <w:rFonts w:hint="eastAsia" w:ascii="仿宋_GB2312" w:eastAsia="仿宋_GB2312"/>
          <w:sz w:val="32"/>
          <w:szCs w:val="32"/>
        </w:rPr>
        <w:t>。</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无</w:t>
      </w:r>
      <w:r>
        <w:rPr>
          <w:rFonts w:hint="eastAsia" w:ascii="仿宋_GB2312" w:eastAsia="仿宋_GB2312"/>
          <w:sz w:val="32"/>
          <w:szCs w:val="32"/>
        </w:rPr>
        <w:t>。</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3NDdjMGE4MjcyYjRhMjQyODNmOTczZmI2OWRkZmI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2970169"/>
    <w:rsid w:val="08F65744"/>
    <w:rsid w:val="14517AE6"/>
    <w:rsid w:val="1BEA0FB0"/>
    <w:rsid w:val="27A620E0"/>
    <w:rsid w:val="2A0C3112"/>
    <w:rsid w:val="2E250B1A"/>
    <w:rsid w:val="39921607"/>
    <w:rsid w:val="3A3F760B"/>
    <w:rsid w:val="468762A1"/>
    <w:rsid w:val="474E2489"/>
    <w:rsid w:val="5375086E"/>
    <w:rsid w:val="7874153A"/>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qFormat/>
    <w:uiPriority w:val="0"/>
    <w:pPr>
      <w:ind w:left="420" w:leftChars="200"/>
    </w:p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1</TotalTime>
  <ScaleCrop>false</ScaleCrop>
  <LinksUpToDate>false</LinksUpToDate>
  <CharactersWithSpaces>270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2024-03-22T06:48:31Z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E58131F330FF495F95E19CF779EE2CE2_13</vt:lpwstr>
  </property>
</Properties>
</file>