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新型城镇化工作经费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县发展和改革局拟订国民经济和社会发展中长期规划、年度计划，并对规划实施情况进行监测与评估，提出有关政策和建议。统筹协调经济社会发展专项规划和区域规划。拟订区域发展战略、规划，提出区域协调发展的重大对策。提出推进县域经济发展政策和措施的建议等，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（二）项目实施主要内容及实施程序。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023年，</w:t>
      </w:r>
      <w:r>
        <w:rPr>
          <w:rFonts w:hint="eastAsia" w:ascii="仿宋_GB2312" w:eastAsia="仿宋_GB2312"/>
          <w:sz w:val="32"/>
          <w:szCs w:val="32"/>
        </w:rPr>
        <w:t>为贯彻落实《中共中央办公厅、国务院办公厅印发〈关于推进以县城为重要载体的城镇化建设的意见〉的通知》和《中共广东省委办公厅、广东省人民政府办公厅印发〈关于推进以县城为重要载体的城镇化建设的若干措施〉的通知》精神，为提升我县县域发展质量，推进以人为核心的新型城镇化战略，加快城乡融合协调发展，</w:t>
      </w:r>
      <w:r>
        <w:rPr>
          <w:rFonts w:hint="eastAsia" w:ascii="仿宋_GB2312" w:eastAsia="仿宋_GB2312"/>
          <w:sz w:val="32"/>
          <w:szCs w:val="32"/>
          <w:lang w:eastAsia="zh-CN"/>
        </w:rPr>
        <w:t>由县发改局牵头完成《乳源瑶族自治县县城新型城镇化建设实施方案》起草工作，加强农业人口转移市民化工作推进和宣传，促进城乡融合发展。</w:t>
      </w:r>
    </w:p>
    <w:p>
      <w:pPr>
        <w:spacing w:line="360" w:lineRule="auto"/>
        <w:ind w:firstLine="640" w:firstLineChars="200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自评得分：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1、项目资金实际总投入情况。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按照县财政局《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关于批复2023年部门预算的通知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》（乳财〔2023〕4号），新型城镇化工作经费下达资金是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10000元，年中根据乳源瑶族自治县人民政府办公室关于印发《乳源瑶族自治县2023年压减部门预算支出工作方案》的通知要求，本单位按照文件要求压减了3625元，调整后实际投入6375元。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2、项目资金实际支出情况，具体详细说明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实际支出印刷费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6375元，支出进度达到100%。按规定支出，取得了预期效果。</w:t>
      </w:r>
    </w:p>
    <w:p>
      <w:pPr>
        <w:pStyle w:val="2"/>
        <w:ind w:left="319" w:leftChars="152" w:firstLine="321" w:firstLineChars="1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3、项目的绩效目标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（经济、政治和社会效益）</w:t>
      </w:r>
    </w:p>
    <w:p>
      <w:pPr>
        <w:pStyle w:val="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完成了《乳源瑶族自治县县城新型城镇化建设实施方案》（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乳府〔2023〕54号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）的起草，开展了加强农业人口转移市民化工作推进和宣传，促进城乡融合发展。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2023年预计乳源常住人口城镇化率达48.26%，较2022年提高0.69个百分点。在推动农业转移人口市民化、提高城镇综合承载能力、统筹城乡融合发展和培育发展特色产业方面取得了预期成效。</w:t>
      </w:r>
    </w:p>
    <w:p>
      <w:pPr>
        <w:numPr>
          <w:ilvl w:val="0"/>
          <w:numId w:val="1"/>
        </w:numPr>
        <w:spacing w:line="360" w:lineRule="auto"/>
        <w:ind w:left="638" w:leftChars="304" w:firstLine="0" w:firstLineChars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项目资金使用效益，对环境、经济、社会的可持续影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推进以县城为重要载体的新型城镇化建设，在生态文明建设、县域高质量发展、构建城乡融合发展和基本公共服务均等化等方面达到新水平。不断推动县城补短板强弱项，高质量建设“承载力强、品质宜居”的现代县城，持续推进完成高质量发展走在全国少数民族自治县前列目标任务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78C0D8"/>
    <w:multiLevelType w:val="singleLevel"/>
    <w:tmpl w:val="A278C0D8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4MTU3Y2E3YzQwZWUzODVhM2E1NDVmNWQ5ZGZhYmEifQ=="/>
  </w:docVars>
  <w:rsids>
    <w:rsidRoot w:val="00F22CA7"/>
    <w:rsid w:val="000560B1"/>
    <w:rsid w:val="00182223"/>
    <w:rsid w:val="003B25CA"/>
    <w:rsid w:val="004903E7"/>
    <w:rsid w:val="00534213"/>
    <w:rsid w:val="00595889"/>
    <w:rsid w:val="006F6EA7"/>
    <w:rsid w:val="0087074D"/>
    <w:rsid w:val="00916C35"/>
    <w:rsid w:val="009C14D0"/>
    <w:rsid w:val="00E409B6"/>
    <w:rsid w:val="00EE444F"/>
    <w:rsid w:val="00F22CA7"/>
    <w:rsid w:val="020A6504"/>
    <w:rsid w:val="09B03C5C"/>
    <w:rsid w:val="09DB4F16"/>
    <w:rsid w:val="0A080661"/>
    <w:rsid w:val="1A460FB9"/>
    <w:rsid w:val="1BEA0FB0"/>
    <w:rsid w:val="206550E2"/>
    <w:rsid w:val="24082954"/>
    <w:rsid w:val="27D01CAB"/>
    <w:rsid w:val="2A0C3112"/>
    <w:rsid w:val="2F70551E"/>
    <w:rsid w:val="35505F08"/>
    <w:rsid w:val="39921607"/>
    <w:rsid w:val="3ED74FA5"/>
    <w:rsid w:val="468762A1"/>
    <w:rsid w:val="5375086E"/>
    <w:rsid w:val="5DA54794"/>
    <w:rsid w:val="60865E3C"/>
    <w:rsid w:val="65A6554D"/>
    <w:rsid w:val="65BC6B1F"/>
    <w:rsid w:val="69666B6C"/>
    <w:rsid w:val="6C382C77"/>
    <w:rsid w:val="77F9775E"/>
    <w:rsid w:val="7F4C0AB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spacing w:before="100" w:beforeAutospacing="1" w:after="100" w:afterAutospacing="1"/>
      <w:outlineLvl w:val="2"/>
    </w:pPr>
    <w:rPr>
      <w:rFonts w:ascii="宋体" w:hAnsi="宋体" w:cs="宋体"/>
      <w:b/>
      <w:bCs/>
      <w:kern w:val="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 w:val="24"/>
      <w:szCs w:val="2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2024-03-22T02:33:41Z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4F319B12C452451F96863CD3C60D1BA7</vt:lpwstr>
  </property>
</Properties>
</file>