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spacing w:line="7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中共乳源县纪委财政支出项目绩效自评报告（纪律教育工作经费）</w:t>
      </w:r>
    </w:p>
    <w:p>
      <w:pPr>
        <w:spacing w:line="560" w:lineRule="exact"/>
        <w:ind w:firstLine="640" w:firstLineChars="200"/>
        <w:rPr>
          <w:rFonts w:ascii="黑体" w:eastAsia="黑体"/>
          <w:sz w:val="32"/>
          <w:szCs w:val="32"/>
        </w:rPr>
      </w:pPr>
      <w:r>
        <w:rPr>
          <w:rFonts w:hint="eastAsia" w:ascii="黑体" w:eastAsia="黑体"/>
          <w:sz w:val="32"/>
          <w:szCs w:val="32"/>
        </w:rPr>
        <w:t>一、项目基本情况及自评结论</w:t>
      </w:r>
    </w:p>
    <w:p>
      <w:pPr>
        <w:spacing w:line="560" w:lineRule="exact"/>
        <w:ind w:firstLine="640" w:firstLineChars="200"/>
        <w:rPr>
          <w:rFonts w:ascii="楷体_GB2312" w:hAnsi="黑体" w:eastAsia="楷体_GB2312"/>
          <w:sz w:val="32"/>
          <w:szCs w:val="32"/>
        </w:rPr>
      </w:pPr>
      <w:r>
        <w:rPr>
          <w:rFonts w:hint="eastAsia" w:ascii="楷体_GB2312" w:hAnsi="黑体" w:eastAsia="楷体_GB2312"/>
          <w:sz w:val="32"/>
          <w:szCs w:val="32"/>
        </w:rPr>
        <w:t>（一）项目用款单位简要情况</w:t>
      </w:r>
    </w:p>
    <w:p>
      <w:pPr>
        <w:spacing w:line="560" w:lineRule="exact"/>
        <w:ind w:firstLine="640" w:firstLineChars="200"/>
        <w:rPr>
          <w:rFonts w:ascii="黑体" w:eastAsia="黑体"/>
          <w:sz w:val="32"/>
          <w:szCs w:val="32"/>
        </w:rPr>
      </w:pPr>
      <w:r>
        <w:rPr>
          <w:rFonts w:hint="eastAsia" w:ascii="仿宋_GB2312" w:eastAsia="仿宋_GB2312"/>
          <w:sz w:val="32"/>
          <w:szCs w:val="32"/>
        </w:rPr>
        <w:t>中国共产党乳源瑶族自治县纪律检查委员会内设机构13个，</w:t>
      </w:r>
      <w:r>
        <w:rPr>
          <w:rFonts w:hint="eastAsia" w:ascii="仿宋_GB2312" w:hAnsi="仿宋" w:eastAsia="仿宋_GB2312" w:cs="仿宋"/>
          <w:sz w:val="32"/>
          <w:szCs w:val="32"/>
        </w:rPr>
        <w:t>另设7个派驻纪检监察组，县委巡察办</w:t>
      </w:r>
      <w:r>
        <w:rPr>
          <w:rFonts w:hint="eastAsia" w:ascii="仿宋_GB2312" w:hAnsi="仿宋" w:eastAsia="仿宋_GB2312" w:cs="仿宋"/>
          <w:sz w:val="32"/>
          <w:szCs w:val="32"/>
          <w:lang w:eastAsia="zh-CN"/>
        </w:rPr>
        <w:t>及</w:t>
      </w:r>
      <w:r>
        <w:rPr>
          <w:rFonts w:hint="eastAsia" w:ascii="仿宋_GB2312" w:hAnsi="仿宋" w:eastAsia="仿宋_GB2312" w:cs="仿宋"/>
          <w:sz w:val="32"/>
          <w:szCs w:val="32"/>
          <w:lang w:val="en-US" w:eastAsia="zh-CN"/>
        </w:rPr>
        <w:t>3个巡察组</w:t>
      </w:r>
      <w:r>
        <w:rPr>
          <w:rFonts w:hint="eastAsia" w:ascii="仿宋_GB2312" w:hAnsi="仿宋" w:eastAsia="仿宋_GB2312" w:cs="仿宋"/>
          <w:sz w:val="32"/>
          <w:szCs w:val="32"/>
        </w:rPr>
        <w:t>。共有行政编制69个，后勤工勤编制7个。年末在职人员</w:t>
      </w:r>
      <w:r>
        <w:rPr>
          <w:rFonts w:hint="eastAsia" w:ascii="仿宋_GB2312" w:hAnsi="仿宋" w:eastAsia="仿宋_GB2312" w:cs="仿宋"/>
          <w:sz w:val="32"/>
          <w:szCs w:val="32"/>
          <w:lang w:val="en-US" w:eastAsia="zh-CN"/>
        </w:rPr>
        <w:t>65</w:t>
      </w:r>
      <w:r>
        <w:rPr>
          <w:rFonts w:hint="eastAsia" w:ascii="仿宋_GB2312" w:hAnsi="仿宋" w:eastAsia="仿宋_GB2312" w:cs="仿宋"/>
          <w:sz w:val="32"/>
          <w:szCs w:val="32"/>
        </w:rPr>
        <w:t>人（其中后勤工勤人员1人），退休人员</w:t>
      </w:r>
      <w:r>
        <w:rPr>
          <w:rFonts w:hint="eastAsia" w:ascii="仿宋_GB2312" w:hAnsi="仿宋" w:eastAsia="仿宋_GB2312" w:cs="仿宋"/>
          <w:sz w:val="32"/>
          <w:szCs w:val="32"/>
          <w:lang w:val="en-US" w:eastAsia="zh-CN"/>
        </w:rPr>
        <w:t>16</w:t>
      </w:r>
      <w:r>
        <w:rPr>
          <w:rFonts w:hint="eastAsia" w:ascii="仿宋_GB2312" w:hAnsi="仿宋" w:eastAsia="仿宋_GB2312" w:cs="仿宋"/>
          <w:sz w:val="32"/>
          <w:szCs w:val="32"/>
        </w:rPr>
        <w:t>人。</w:t>
      </w:r>
    </w:p>
    <w:p>
      <w:pPr>
        <w:spacing w:line="560" w:lineRule="exact"/>
        <w:ind w:firstLine="640" w:firstLineChars="200"/>
        <w:rPr>
          <w:rFonts w:ascii="楷体_GB2312" w:hAnsi="黑体" w:eastAsia="楷体_GB2312"/>
          <w:sz w:val="32"/>
          <w:szCs w:val="32"/>
        </w:rPr>
      </w:pPr>
      <w:r>
        <w:rPr>
          <w:rFonts w:hint="eastAsia" w:ascii="楷体_GB2312" w:hAnsi="黑体" w:eastAsia="楷体_GB2312"/>
          <w:sz w:val="32"/>
          <w:szCs w:val="32"/>
        </w:rPr>
        <w:t>（二）项目实施主要内容及实施程序</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主要内容是开展坚持惩教结合，强化惩后教育工作，最大限度激发干部干事创业积极性。深化以案治本工作，用好纪检监察建议有力武器，抓好党风廉政宣传教育活动，开展“以案说法”“以案说纪”“以案说责”，用身边事教育身边人，发挥案件警示教育作用。主要实施程序是通过县级财政预算、政府采购等方式，为纪检监察工作人员开展上述工作提供后勤及经费保障。</w:t>
      </w:r>
    </w:p>
    <w:p>
      <w:pPr>
        <w:spacing w:line="560" w:lineRule="exact"/>
        <w:ind w:firstLine="640" w:firstLineChars="200"/>
        <w:rPr>
          <w:rFonts w:ascii="楷体_GB2312" w:hAnsi="黑体" w:eastAsia="楷体_GB2312"/>
          <w:sz w:val="32"/>
          <w:szCs w:val="32"/>
        </w:rPr>
      </w:pPr>
      <w:r>
        <w:rPr>
          <w:rFonts w:hint="eastAsia" w:ascii="楷体_GB2312" w:hAnsi="黑体" w:eastAsia="楷体_GB2312"/>
          <w:sz w:val="32"/>
          <w:szCs w:val="32"/>
        </w:rPr>
        <w:t>（三）综述项目自评等级和分数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1.投入。该项目年初财政核拨项目，非建设项目，前期经过了本部门财务部门、各业务科室、分管领导、主管领导的反复研究和论证，经县财政部门审核、县人大代表会议的认真审议并通过。故项目</w:t>
      </w:r>
      <w:r>
        <w:rPr>
          <w:rFonts w:hint="eastAsia" w:ascii="仿宋_GB2312" w:eastAsia="仿宋_GB2312"/>
          <w:b/>
          <w:sz w:val="32"/>
          <w:szCs w:val="32"/>
        </w:rPr>
        <w:t>论证决策</w:t>
      </w:r>
      <w:r>
        <w:rPr>
          <w:rFonts w:hint="eastAsia" w:ascii="仿宋_GB2312" w:eastAsia="仿宋_GB2312"/>
          <w:sz w:val="32"/>
          <w:szCs w:val="32"/>
        </w:rPr>
        <w:t>充分、科学、合理，</w:t>
      </w:r>
      <w:r>
        <w:rPr>
          <w:rFonts w:hint="eastAsia" w:ascii="仿宋_GB2312" w:eastAsia="仿宋_GB2312"/>
          <w:b/>
          <w:sz w:val="32"/>
          <w:szCs w:val="32"/>
        </w:rPr>
        <w:t>目标设置</w:t>
      </w:r>
      <w:r>
        <w:rPr>
          <w:rFonts w:hint="eastAsia" w:ascii="仿宋_GB2312" w:eastAsia="仿宋_GB2312"/>
          <w:sz w:val="32"/>
          <w:szCs w:val="32"/>
        </w:rPr>
        <w:t>完整、合理、具有可衡量性；</w:t>
      </w:r>
      <w:r>
        <w:rPr>
          <w:rFonts w:hint="eastAsia" w:ascii="仿宋_GB2312" w:eastAsia="仿宋_GB2312"/>
          <w:b/>
          <w:sz w:val="32"/>
          <w:szCs w:val="32"/>
        </w:rPr>
        <w:t>保障措施</w:t>
      </w:r>
      <w:r>
        <w:rPr>
          <w:rFonts w:hint="eastAsia" w:ascii="仿宋_GB2312" w:eastAsia="仿宋_GB2312"/>
          <w:sz w:val="32"/>
          <w:szCs w:val="32"/>
        </w:rPr>
        <w:t>到位，具体体现在制度完整、计划安排合理。</w:t>
      </w:r>
      <w:r>
        <w:rPr>
          <w:rFonts w:hint="eastAsia" w:ascii="仿宋_GB2312" w:eastAsia="仿宋_GB2312"/>
          <w:b/>
          <w:sz w:val="32"/>
          <w:szCs w:val="32"/>
        </w:rPr>
        <w:t>资金落实</w:t>
      </w:r>
      <w:r>
        <w:rPr>
          <w:rFonts w:hint="eastAsia" w:ascii="仿宋_GB2312" w:eastAsia="仿宋_GB2312"/>
          <w:sz w:val="32"/>
          <w:szCs w:val="32"/>
        </w:rPr>
        <w:t>方面，县财政及时保障了资金额度，资金分配和到位及时。所以在项目投入方面表现较好，自评未扣分。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过程。资金管理方面，资金支付到位，资金支付率100%，资金支出规范，按照年初预定的计划严格安排资金支付支出，支付符合有关制度规定，未发生超范围、超标准支出，虚列支出，截留挤占、挪用资金的以及其他不符合制度规定支出的情况，会计核算及时规范。事项管理方面，实施程序科学合理，年中未作调整，资金的管理和监管有效。所以自评未扣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3.产出。经济性方面，</w:t>
      </w:r>
      <w:r>
        <w:rPr>
          <w:rFonts w:hint="eastAsia" w:ascii="仿宋_GB2312" w:eastAsia="仿宋_GB2312"/>
          <w:b/>
          <w:sz w:val="32"/>
          <w:szCs w:val="32"/>
        </w:rPr>
        <w:t>预算控制</w:t>
      </w:r>
      <w:r>
        <w:rPr>
          <w:rFonts w:hint="eastAsia" w:ascii="仿宋_GB2312" w:eastAsia="仿宋_GB2312"/>
          <w:sz w:val="32"/>
          <w:szCs w:val="32"/>
        </w:rPr>
        <w:t>合理，支出金额未超过预算安排，</w:t>
      </w:r>
      <w:r>
        <w:rPr>
          <w:rFonts w:hint="eastAsia" w:ascii="仿宋_GB2312" w:eastAsia="仿宋_GB2312"/>
          <w:b/>
          <w:sz w:val="32"/>
          <w:szCs w:val="32"/>
        </w:rPr>
        <w:t>成本控制</w:t>
      </w:r>
      <w:r>
        <w:rPr>
          <w:rFonts w:hint="eastAsia" w:ascii="仿宋_GB2312" w:eastAsia="仿宋_GB2312"/>
          <w:sz w:val="32"/>
          <w:szCs w:val="32"/>
        </w:rPr>
        <w:t>合理。在效率性方面，年初设定的项目进度和质量均表现良好。所以自评未扣分。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效益。效果性方面。在经济效益、社会效益、生态效益、可持续发展等指标表现良好，达到或超过了年初设定的预定目标。公平性方面，服务对象在满意度方面表现良好，人民群众对反腐倡廉工作的满意度日益提升。所以自评未扣分。</w:t>
      </w:r>
    </w:p>
    <w:p>
      <w:pPr>
        <w:spacing w:line="560" w:lineRule="exact"/>
        <w:ind w:firstLine="640" w:firstLineChars="200"/>
        <w:rPr>
          <w:rFonts w:ascii="黑体" w:eastAsia="黑体"/>
          <w:sz w:val="32"/>
          <w:szCs w:val="32"/>
        </w:rPr>
      </w:pPr>
      <w:r>
        <w:rPr>
          <w:rFonts w:hint="eastAsia" w:ascii="黑体" w:eastAsia="黑体"/>
          <w:sz w:val="32"/>
          <w:szCs w:val="32"/>
        </w:rPr>
        <w:t>二、绩效表现</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（一）资金使用绩效</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项目资金实际投入</w:t>
      </w: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万元。</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2.项目资金实际支出情况。</w:t>
      </w:r>
    </w:p>
    <w:p>
      <w:pPr>
        <w:spacing w:line="560" w:lineRule="exact"/>
        <w:ind w:firstLine="640" w:firstLineChars="200"/>
        <w:rPr>
          <w:rFonts w:ascii="仿宋_GB2312" w:eastAsia="仿宋_GB2312"/>
          <w:b/>
          <w:sz w:val="32"/>
          <w:szCs w:val="32"/>
        </w:rPr>
      </w:pPr>
      <w:r>
        <w:rPr>
          <w:rFonts w:hint="eastAsia" w:ascii="仿宋_GB2312" w:eastAsia="仿宋_GB2312"/>
          <w:sz w:val="32"/>
          <w:szCs w:val="32"/>
        </w:rPr>
        <w:t>实际支出</w:t>
      </w:r>
      <w:r>
        <w:rPr>
          <w:rFonts w:hint="eastAsia" w:ascii="仿宋_GB2312" w:eastAsia="仿宋_GB2312"/>
          <w:sz w:val="32"/>
          <w:szCs w:val="32"/>
          <w:lang w:val="en-US" w:eastAsia="zh-CN"/>
        </w:rPr>
        <w:t>4</w:t>
      </w:r>
      <w:r>
        <w:rPr>
          <w:rFonts w:hint="eastAsia" w:ascii="仿宋_GB2312" w:eastAsia="仿宋_GB2312"/>
          <w:sz w:val="32"/>
          <w:szCs w:val="32"/>
        </w:rPr>
        <w:t>万元</w:t>
      </w:r>
      <w:r>
        <w:rPr>
          <w:rFonts w:hint="eastAsia" w:ascii="仿宋_GB2312" w:eastAsia="仿宋_GB2312"/>
          <w:sz w:val="32"/>
          <w:szCs w:val="32"/>
          <w:lang w:eastAsia="zh-CN"/>
        </w:rPr>
        <w:t>，支出进度</w:t>
      </w:r>
      <w:r>
        <w:rPr>
          <w:rFonts w:hint="eastAsia" w:ascii="仿宋_GB2312" w:eastAsia="仿宋_GB2312"/>
          <w:sz w:val="32"/>
          <w:szCs w:val="32"/>
          <w:lang w:val="en-US" w:eastAsia="zh-CN"/>
        </w:rPr>
        <w:t>100%</w:t>
      </w:r>
      <w:bookmarkStart w:id="0" w:name="_GoBack"/>
      <w:bookmarkEnd w:id="0"/>
      <w:r>
        <w:rPr>
          <w:rFonts w:hint="eastAsia" w:ascii="仿宋_GB2312" w:eastAsia="仿宋_GB2312"/>
          <w:sz w:val="32"/>
          <w:szCs w:val="32"/>
        </w:rPr>
        <w:t>。</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3.项目的绩效目标。</w:t>
      </w:r>
    </w:p>
    <w:p>
      <w:pPr>
        <w:spacing w:line="560" w:lineRule="exact"/>
        <w:ind w:firstLine="640" w:firstLineChars="200"/>
        <w:rPr>
          <w:rFonts w:ascii="仿宋_GB2312" w:hAnsi="仿宋_GB2312" w:eastAsia="仿宋_GB2312"/>
          <w:sz w:val="32"/>
          <w:szCs w:val="32"/>
        </w:rPr>
      </w:pPr>
      <w:r>
        <w:rPr>
          <w:rFonts w:hint="eastAsia" w:ascii="仿宋_GB2312" w:eastAsia="仿宋_GB2312"/>
          <w:sz w:val="32"/>
          <w:szCs w:val="32"/>
        </w:rPr>
        <w:t>坚持惩教结合，强化惩后教育工作，积极开展受处分党员干部教育回访工作，最大限度激发干部干事创业积极性。深化以案治本工作，用好纪检监察建议有力武器，抓好党风廉政宣传教育活动，开展“以案说法”“以案说纪”“以案说责”，用身边事教育身边人，发挥案件警示教育作用。</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4.项目资金使用效益，对环境、经济、社会的可持续影响。</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不断创新思路，开拓进取，狠抓落实，有计划、有步骤地推进反腐倡廉宣传教育工作，为全县党风廉政建设和反腐败斗争提供了有力的思想保证和舆论支持。</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（二）存在问题</w:t>
      </w:r>
    </w:p>
    <w:p>
      <w:pPr>
        <w:spacing w:line="560" w:lineRule="exact"/>
        <w:ind w:firstLine="640" w:firstLineChars="200"/>
        <w:rPr>
          <w:rFonts w:ascii="仿宋_GB2312" w:eastAsia="仿宋_GB2312"/>
          <w:b/>
          <w:sz w:val="32"/>
          <w:szCs w:val="32"/>
        </w:rPr>
      </w:pPr>
      <w:r>
        <w:rPr>
          <w:rFonts w:hint="eastAsia" w:ascii="仿宋_GB2312" w:eastAsia="仿宋_GB2312"/>
          <w:sz w:val="32"/>
          <w:szCs w:val="32"/>
        </w:rPr>
        <w:t>已对该项目安排的财政预算资金进行了合理的使用，确保资金使用效率。故不存在问题。</w:t>
      </w:r>
    </w:p>
    <w:p>
      <w:pPr>
        <w:spacing w:line="560" w:lineRule="exact"/>
        <w:ind w:firstLine="640" w:firstLineChars="200"/>
        <w:rPr>
          <w:rFonts w:ascii="黑体" w:eastAsia="黑体"/>
          <w:sz w:val="32"/>
          <w:szCs w:val="32"/>
        </w:rPr>
      </w:pPr>
      <w:r>
        <w:rPr>
          <w:rFonts w:hint="eastAsia" w:ascii="黑体" w:eastAsia="黑体"/>
          <w:sz w:val="32"/>
          <w:szCs w:val="32"/>
        </w:rPr>
        <w:t>三、改进意见</w:t>
      </w:r>
    </w:p>
    <w:p>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下一步，将不断总结经验，加大项目申拨计划、资金支付进度的管理。厉行节约，既注重效益、节约成本，又充分把握进度。</w:t>
      </w:r>
    </w:p>
    <w:p>
      <w:pPr>
        <w:spacing w:line="560" w:lineRule="exact"/>
        <w:ind w:firstLine="640" w:firstLineChars="200"/>
        <w:rPr>
          <w:rFonts w:ascii="黑体" w:eastAsia="黑体"/>
          <w:sz w:val="32"/>
          <w:szCs w:val="32"/>
        </w:rPr>
      </w:pPr>
      <w:r>
        <w:rPr>
          <w:rFonts w:hint="eastAsia" w:ascii="黑体" w:eastAsia="黑体"/>
          <w:sz w:val="32"/>
          <w:szCs w:val="32"/>
        </w:rPr>
        <w:t>四、其他需要说明的情况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w:t>
      </w:r>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A0C3112"/>
    <w:rsid w:val="39921607"/>
    <w:rsid w:val="468762A1"/>
    <w:rsid w:val="5375086E"/>
    <w:rsid w:val="A7FFD81E"/>
    <w:rsid w:val="EEFFA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2</TotalTime>
  <ScaleCrop>false</ScaleCrop>
  <LinksUpToDate>false</LinksUpToDate>
  <CharactersWithSpaces>270</CharactersWithSpaces>
  <Application>WPS Office_11.8.2.10605_F1E327BC-269C-435d-A152-05C5408002CA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2016-12-01T23:04:00Z</dcterms:created>
  <dc:creator>lenovo</dc:creator>
  <cp:lastModifiedBy>xcb04</cp:lastModifiedBy>
  <cp:lastPrinted>2018-10-25T18:57:00Z</cp:lastPrinted>
  <dcterms:modified xsi:type="dcterms:W3CDTF">2024-04-02T08:55:01Z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y fmtid="{D5CDD505-2E9C-101B-9397-08002B2CF9AE}" pid="3" name="ICV">
    <vt:lpwstr>FA9FAD6EBB306F60FB6FD565C6D382F8</vt:lpwstr>
  </property>
</Properties>
</file>