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val="0"/>
        <w:autoSpaceDE w:val="0"/>
        <w:autoSpaceDN w:val="0"/>
        <w:rPr>
          <w:rFonts w:hint="eastAsia" w:ascii="黑体" w:hAnsi="黑体" w:eastAsia="黑体"/>
          <w:sz w:val="32"/>
          <w:lang w:val="en-US" w:eastAsia="zh-CN"/>
        </w:rPr>
      </w:pPr>
      <w:bookmarkStart w:id="0" w:name="_GoBack"/>
      <w:bookmarkEnd w:id="0"/>
      <w:r>
        <w:rPr>
          <w:rFonts w:hint="eastAsia" w:ascii="黑体" w:hAnsi="黑体" w:eastAsia="黑体"/>
          <w:sz w:val="32"/>
        </w:rPr>
        <w:t>附件</w:t>
      </w:r>
      <w:r>
        <w:rPr>
          <w:rFonts w:hint="eastAsia" w:ascii="黑体" w:hAnsi="黑体" w:eastAsia="黑体"/>
          <w:sz w:val="32"/>
          <w:lang w:val="en-US" w:eastAsia="zh-CN"/>
        </w:rPr>
        <w:t>3</w:t>
      </w:r>
    </w:p>
    <w:p>
      <w:pPr>
        <w:pStyle w:val="8"/>
        <w:widowControl w:val="0"/>
        <w:autoSpaceDE w:val="0"/>
        <w:autoSpaceDN w:val="0"/>
        <w:ind w:left="0" w:leftChars="0" w:right="0" w:rightChars="0" w:firstLine="0" w:firstLineChars="0"/>
        <w:jc w:val="both"/>
        <w:rPr>
          <w:rFonts w:hint="eastAsia" w:ascii="FangSong.GB2312" w:hAnsi="FangSong.GB2312" w:eastAsia="FangSong.GB2312"/>
          <w:sz w:val="30"/>
          <w:lang w:eastAsia="zh-CN"/>
        </w:rPr>
      </w:pPr>
    </w:p>
    <w:p>
      <w:pPr>
        <w:pStyle w:val="8"/>
        <w:keepNext w:val="0"/>
        <w:keepLines w:val="0"/>
        <w:pageBreakBefore w:val="0"/>
        <w:widowControl w:val="0"/>
        <w:kinsoku/>
        <w:wordWrap/>
        <w:overflowPunct/>
        <w:topLinePunct w:val="0"/>
        <w:autoSpaceDE w:val="0"/>
        <w:autoSpaceDN w:val="0"/>
        <w:bidi w:val="0"/>
        <w:adjustRightInd/>
        <w:snapToGrid/>
        <w:spacing w:line="700" w:lineRule="exact"/>
        <w:ind w:left="0" w:leftChars="0" w:right="0" w:rightChars="0" w:firstLine="0" w:firstLineChars="0"/>
        <w:jc w:val="center"/>
        <w:textAlignment w:val="auto"/>
        <w:rPr>
          <w:rFonts w:hint="eastAsia" w:ascii="方正小标宋简体" w:hAnsi="方正小标宋简体" w:eastAsia="方正小标宋简体" w:cs="方正小标宋简体"/>
          <w:b/>
          <w:bCs/>
          <w:sz w:val="44"/>
          <w:szCs w:val="44"/>
          <w:lang w:eastAsia="zh-CN"/>
        </w:rPr>
      </w:pPr>
      <w:r>
        <w:rPr>
          <w:rFonts w:hint="eastAsia" w:ascii="方正小标宋简体" w:hAnsi="方正小标宋简体" w:eastAsia="方正小标宋简体" w:cs="方正小标宋简体"/>
          <w:b/>
          <w:bCs/>
          <w:sz w:val="44"/>
          <w:szCs w:val="44"/>
          <w:lang w:eastAsia="zh-CN"/>
        </w:rPr>
        <w:t>县工商联部门整体支出绩效自评报告</w:t>
      </w:r>
    </w:p>
    <w:p>
      <w:pPr>
        <w:pStyle w:val="8"/>
        <w:keepNext w:val="0"/>
        <w:keepLines w:val="0"/>
        <w:pageBreakBefore w:val="0"/>
        <w:widowControl w:val="0"/>
        <w:kinsoku/>
        <w:wordWrap/>
        <w:overflowPunct/>
        <w:topLinePunct w:val="0"/>
        <w:autoSpaceDE w:val="0"/>
        <w:autoSpaceDN w:val="0"/>
        <w:bidi w:val="0"/>
        <w:adjustRightInd/>
        <w:snapToGrid/>
        <w:spacing w:line="700" w:lineRule="exact"/>
        <w:ind w:left="0" w:leftChars="0" w:right="0" w:rightChars="0" w:firstLine="0" w:firstLineChars="0"/>
        <w:jc w:val="center"/>
        <w:textAlignment w:val="auto"/>
        <w:rPr>
          <w:rFonts w:hint="eastAsia" w:ascii="方正小标宋简体" w:hAnsi="方正小标宋简体" w:eastAsia="方正小标宋简体" w:cs="方正小标宋简体"/>
          <w:b/>
          <w:bCs/>
          <w:sz w:val="44"/>
          <w:szCs w:val="44"/>
          <w:lang w:eastAsia="zh-CN"/>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sz w:val="32"/>
          <w:szCs w:val="32"/>
          <w:lang w:eastAsia="zh-CN"/>
        </w:rPr>
        <w:t>工商联的</w:t>
      </w:r>
      <w:r>
        <w:rPr>
          <w:rFonts w:hint="eastAsia" w:ascii="方正楷体_GBK" w:hAnsi="方正楷体_GBK" w:eastAsia="方正楷体_GBK" w:cs="方正楷体_GBK"/>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spacing w:line="360" w:lineRule="auto"/>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eastAsia="zh-CN"/>
        </w:rPr>
        <w:t>（二）</w:t>
      </w:r>
      <w:r>
        <w:rPr>
          <w:rFonts w:hint="eastAsia" w:ascii="方正楷体_GBK" w:hAnsi="方正楷体_GBK" w:eastAsia="方正楷体_GBK" w:cs="方正楷体_GBK"/>
          <w:sz w:val="32"/>
          <w:szCs w:val="32"/>
        </w:rPr>
        <w:t>项目实施主要内容及实施程序</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参政议政、基层商会专项工作经费、新时代文明实践工作经费、党建活动经费、办公运行工作经费等项目实施进度中通常以公务接待费、因公出国（境）费、差旅费、交通费、其他商品和服务支出、办公费、培训费、会议费、办公设备购置费、劳务费等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2.参政议政、党建活动经费、基层商会专项工作经费、新时代文明实践工作经费、办公运行工作经费</w:t>
      </w:r>
      <w:r>
        <w:rPr>
          <w:rFonts w:hint="eastAsia" w:ascii="仿宋_GB2312" w:eastAsia="仿宋_GB2312"/>
          <w:sz w:val="32"/>
          <w:szCs w:val="32"/>
          <w:lang w:eastAsia="zh-CN"/>
        </w:rPr>
        <w:t>符合经济社会发展规划和本单位年度工作计划，根据需要制定了中长期实施规划，项目的设立经过科学决策程序。组织非公经济人士参加理想信念教育暨能力提升培训班，民营经济人士理想信念教育和能力都得到提升；组织党员外出考察学习2次，完成党建宣传栏、党建图书角及征订报刊；成立东坪镇基层商会、洛阳镇基层商会、乳城镇基层商会；参加香港乳源同乡联谊会换届筹备工作会议及开展招商引资工作；开展爱心助考为梦起航活动，为参加高考的莘莘学子提供力所能及的关心和帮助,是一次播撒爱心，传递温暖的志愿服务活动，同时也是进一步巩固深化城市文明建设成果的具体举措，更是传递社会正能量的具体体现；2023年乳源非公有制企业新时代文明实践活动之——“八一”建军节慰问洛阳镇深洞村委退伍军人活动，深入贯彻落实习近平强军思想和习近平总书记关于双拥工作重要论述，弘扬我县拥军优属光荣传统，大力营造爱国拥军的浓厚社会氛围；科普宣讲知识进学校活动，提高了学生科学素养；乳源瑶族自治县垃圾分类“绿色生活，我先行，从垃圾分类开始”宣传活动，美化了社会环境；办公设备购置数量3台，提高办公效率，解决就业人员2人。项目圆满完成本年度工作任务，实现预期目标，资金使用科学有效，资金支出安全及时，自评等级为优，自评分数</w:t>
      </w:r>
      <w:r>
        <w:rPr>
          <w:rFonts w:hint="eastAsia" w:ascii="仿宋_GB2312" w:eastAsia="仿宋_GB2312"/>
          <w:sz w:val="32"/>
          <w:szCs w:val="32"/>
          <w:lang w:val="en-US" w:eastAsia="zh-CN"/>
        </w:rPr>
        <w:t>90</w:t>
      </w:r>
      <w:r>
        <w:rPr>
          <w:rFonts w:hint="eastAsia" w:ascii="仿宋_GB2312" w:eastAsia="仿宋_GB2312"/>
          <w:sz w:val="32"/>
          <w:szCs w:val="32"/>
          <w:lang w:eastAsia="zh-CN"/>
        </w:rPr>
        <w:t>分。</w:t>
      </w:r>
    </w:p>
    <w:p>
      <w:pPr>
        <w:ind w:right="0" w:rightChars="0" w:firstLine="640" w:firstLineChars="200"/>
        <w:jc w:val="left"/>
        <w:rPr>
          <w:rFonts w:ascii="黑体" w:eastAsia="黑体"/>
          <w:sz w:val="32"/>
          <w:szCs w:val="32"/>
        </w:rPr>
      </w:pPr>
      <w:r>
        <w:rPr>
          <w:rFonts w:hint="eastAsia" w:ascii="黑体" w:eastAsia="黑体"/>
          <w:sz w:val="32"/>
          <w:szCs w:val="32"/>
        </w:rPr>
        <w:t>二</w:t>
      </w:r>
      <w:r>
        <w:rPr>
          <w:rFonts w:hint="eastAsia" w:ascii="黑体" w:eastAsia="黑体"/>
          <w:sz w:val="32"/>
          <w:szCs w:val="32"/>
          <w:lang w:eastAsia="zh-CN"/>
        </w:rPr>
        <w:t>、</w:t>
      </w:r>
      <w:r>
        <w:rPr>
          <w:rFonts w:hint="eastAsia" w:ascii="黑体" w:hAnsi="黑体" w:eastAsia="黑体"/>
          <w:sz w:val="32"/>
        </w:rPr>
        <w:t>绩效自评情况</w:t>
      </w:r>
    </w:p>
    <w:p>
      <w:pPr>
        <w:spacing w:line="360" w:lineRule="auto"/>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（一）资金使用绩效</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党建活动经费：全年预算数为</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万元，完成预算的100%。组织党员外出学习，引导非公经济人士思想上与党同心同行，积极承担社会责任，该项目圆满完成本年度工作任务，实现预期目标，资金使用科学有效，资金支出安全及时。</w:t>
      </w:r>
    </w:p>
    <w:p>
      <w:pPr>
        <w:spacing w:line="360" w:lineRule="auto"/>
        <w:ind w:firstLine="640" w:firstLineChars="200"/>
        <w:rPr>
          <w:rFonts w:hint="eastAsia" w:ascii="仿宋_GB2312" w:eastAsia="仿宋_GB2312"/>
          <w:sz w:val="32"/>
          <w:szCs w:val="32"/>
          <w:lang w:eastAsia="zh-CN"/>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办公运行工作经费：全年预算数为</w:t>
      </w:r>
      <w:r>
        <w:rPr>
          <w:rFonts w:hint="eastAsia" w:ascii="仿宋_GB2312" w:hAnsi="仿宋_GB2312" w:eastAsia="仿宋_GB2312"/>
          <w:sz w:val="32"/>
          <w:szCs w:val="32"/>
          <w:lang w:val="en-US" w:eastAsia="zh-CN"/>
        </w:rPr>
        <w:t>4.58</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4.58</w:t>
      </w:r>
      <w:r>
        <w:rPr>
          <w:rFonts w:hint="eastAsia" w:ascii="仿宋_GB2312" w:hAnsi="仿宋_GB2312" w:eastAsia="仿宋_GB2312"/>
          <w:sz w:val="32"/>
          <w:szCs w:val="32"/>
          <w:lang w:eastAsia="zh-CN"/>
        </w:rPr>
        <w:t>万元，完成预算的100%。采购</w:t>
      </w:r>
      <w:r>
        <w:rPr>
          <w:rFonts w:hint="eastAsia" w:ascii="仿宋_GB2312" w:eastAsia="仿宋_GB2312"/>
          <w:sz w:val="32"/>
          <w:szCs w:val="32"/>
          <w:lang w:eastAsia="zh-CN"/>
        </w:rPr>
        <w:t>办公设备购置数量3台，提高办公效率；解决就业人员2人。</w:t>
      </w:r>
      <w:r>
        <w:rPr>
          <w:rFonts w:hint="eastAsia" w:ascii="仿宋_GB2312" w:hAnsi="仿宋_GB2312" w:eastAsia="仿宋_GB2312"/>
          <w:sz w:val="32"/>
          <w:szCs w:val="32"/>
          <w:lang w:eastAsia="zh-CN"/>
        </w:rPr>
        <w:t>该项目圆满完成本年度工作任务，实现预期目标，资金使用科学有效，资金支出安全及时。</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eastAsia="仿宋_GB2312"/>
          <w:sz w:val="32"/>
          <w:szCs w:val="32"/>
          <w:lang w:val="en-US" w:eastAsia="zh-CN"/>
        </w:rPr>
        <w:t>3.参政议政：</w:t>
      </w:r>
      <w:r>
        <w:rPr>
          <w:rFonts w:hint="eastAsia" w:ascii="仿宋_GB2312" w:hAnsi="仿宋_GB2312" w:eastAsia="仿宋_GB2312"/>
          <w:sz w:val="32"/>
          <w:szCs w:val="32"/>
          <w:lang w:eastAsia="zh-CN"/>
        </w:rPr>
        <w:t>全年预算数为</w:t>
      </w:r>
      <w:r>
        <w:rPr>
          <w:rFonts w:hint="eastAsia" w:ascii="仿宋_GB2312" w:hAnsi="仿宋_GB2312" w:eastAsia="仿宋_GB2312"/>
          <w:sz w:val="32"/>
          <w:szCs w:val="32"/>
          <w:lang w:val="en-US" w:eastAsia="zh-CN"/>
        </w:rPr>
        <w:t>2.63</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2.63</w:t>
      </w:r>
      <w:r>
        <w:rPr>
          <w:rFonts w:hint="eastAsia" w:ascii="仿宋_GB2312" w:hAnsi="仿宋_GB2312" w:eastAsia="仿宋_GB2312"/>
          <w:sz w:val="32"/>
          <w:szCs w:val="32"/>
          <w:lang w:eastAsia="zh-CN"/>
        </w:rPr>
        <w:t>万元，完成预算的100%。</w:t>
      </w:r>
      <w:r>
        <w:rPr>
          <w:rFonts w:hint="eastAsia" w:ascii="仿宋_GB2312" w:eastAsia="仿宋_GB2312"/>
          <w:sz w:val="32"/>
          <w:szCs w:val="32"/>
          <w:lang w:eastAsia="zh-CN"/>
        </w:rPr>
        <w:t>组织非公经济人士参加理想信念教育暨能力提升培训班，民营经济人士理想信念教育和能力都得到提升；</w:t>
      </w:r>
      <w:r>
        <w:rPr>
          <w:rFonts w:hint="eastAsia" w:ascii="仿宋_GB2312" w:hAnsi="仿宋_GB2312" w:eastAsia="仿宋_GB2312"/>
          <w:sz w:val="32"/>
          <w:szCs w:val="32"/>
          <w:lang w:val="en-US" w:eastAsia="zh-CN"/>
        </w:rPr>
        <w:t>充分发挥工商联在非公有制经济人士思想政治中的引导作用和社会事务中的重要作用；着力建设“学习型、服务型、和谐型、创新型、廉洁型”工商联，努力建设一支政治过硬、素质过硬、能力过硬的工商联干部队伍；加强做好办公室环境改造。对办公区域环境整改，打造一个干净、整洁、卫生的办公环境。</w:t>
      </w:r>
      <w:r>
        <w:rPr>
          <w:rFonts w:hint="eastAsia" w:ascii="仿宋_GB2312" w:hAnsi="仿宋_GB2312" w:eastAsia="仿宋_GB2312"/>
          <w:sz w:val="32"/>
          <w:szCs w:val="32"/>
          <w:lang w:eastAsia="zh-CN"/>
        </w:rPr>
        <w:t>该项目圆满完成本年度工作任务，实现预期目标，资金使用科学有效，资金支出安全及时。</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4.</w:t>
      </w:r>
      <w:r>
        <w:rPr>
          <w:rFonts w:hint="eastAsia" w:ascii="仿宋_GB2312" w:eastAsia="仿宋_GB2312"/>
          <w:sz w:val="32"/>
          <w:szCs w:val="32"/>
          <w:lang w:val="en-US" w:eastAsia="zh-CN"/>
        </w:rPr>
        <w:t>基层商会专项工作</w:t>
      </w:r>
      <w:r>
        <w:rPr>
          <w:rFonts w:hint="eastAsia" w:ascii="仿宋_GB2312" w:hAnsi="仿宋_GB2312" w:eastAsia="仿宋_GB2312"/>
          <w:sz w:val="32"/>
          <w:szCs w:val="32"/>
          <w:lang w:eastAsia="zh-CN"/>
        </w:rPr>
        <w:t>经费：全年预算数为</w:t>
      </w:r>
      <w:r>
        <w:rPr>
          <w:rFonts w:hint="eastAsia" w:ascii="仿宋_GB2312" w:hAnsi="仿宋_GB2312" w:eastAsia="仿宋_GB2312"/>
          <w:sz w:val="32"/>
          <w:szCs w:val="32"/>
          <w:lang w:val="en-US" w:eastAsia="zh-CN"/>
        </w:rPr>
        <w:t>2.5</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2.5</w:t>
      </w:r>
      <w:r>
        <w:rPr>
          <w:rFonts w:hint="eastAsia" w:ascii="仿宋_GB2312" w:hAnsi="仿宋_GB2312" w:eastAsia="仿宋_GB2312"/>
          <w:sz w:val="32"/>
          <w:szCs w:val="32"/>
          <w:lang w:eastAsia="zh-CN"/>
        </w:rPr>
        <w:t>万元，完成预算的100%。</w:t>
      </w:r>
      <w:r>
        <w:rPr>
          <w:rFonts w:hint="eastAsia" w:ascii="仿宋_GB2312" w:eastAsia="仿宋_GB2312"/>
          <w:sz w:val="32"/>
          <w:szCs w:val="32"/>
          <w:lang w:eastAsia="zh-CN"/>
        </w:rPr>
        <w:t>成立东坪镇基层商会、洛阳镇基层商会、乳城镇基层商会；参加香港乳源同乡联谊会换届筹备工作会议及开展招商引资工作。</w:t>
      </w:r>
      <w:r>
        <w:rPr>
          <w:rFonts w:hint="eastAsia" w:ascii="仿宋_GB2312" w:hAnsi="仿宋_GB2312" w:eastAsia="仿宋_GB2312"/>
          <w:sz w:val="32"/>
          <w:szCs w:val="32"/>
          <w:lang w:eastAsia="zh-CN"/>
        </w:rPr>
        <w:t>该项目圆满完成本年度工作任务，实现预期目标，资金使用科学有效，资金支出安全及时。</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5.</w:t>
      </w:r>
      <w:r>
        <w:rPr>
          <w:rFonts w:hint="eastAsia" w:ascii="仿宋_GB2312" w:eastAsia="仿宋_GB2312"/>
          <w:sz w:val="32"/>
          <w:szCs w:val="32"/>
          <w:lang w:val="en-US" w:eastAsia="zh-CN"/>
        </w:rPr>
        <w:t>新时代文明实践工作经费：</w:t>
      </w:r>
      <w:r>
        <w:rPr>
          <w:rFonts w:hint="eastAsia" w:ascii="仿宋_GB2312" w:hAnsi="仿宋_GB2312" w:eastAsia="仿宋_GB2312"/>
          <w:sz w:val="32"/>
          <w:szCs w:val="32"/>
          <w:lang w:eastAsia="zh-CN"/>
        </w:rPr>
        <w:t>全年预算数为</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万元，完成预算的100%。</w:t>
      </w:r>
      <w:r>
        <w:rPr>
          <w:rFonts w:hint="eastAsia" w:ascii="仿宋_GB2312" w:eastAsia="仿宋_GB2312"/>
          <w:sz w:val="32"/>
          <w:szCs w:val="32"/>
          <w:lang w:eastAsia="zh-CN"/>
        </w:rPr>
        <w:t>开展爱心助考为梦起航活动，为参加高考的莘莘学子提供力所能及的关心和帮助,是一次播撒爱心，传递温暖的志愿服务活动，同时也是进一步巩固深化城市文明建设成果的具体举措，更是传递社会正能量的具体体现；2023年乳源非公有制企业新时代文明实践活动之——“八一”建军节慰问洛阳镇深洞村委退伍军人活动，深入贯彻落实习近平强军思想和习近平总书记关于双拥工作重要论述，弘扬我县拥军优属光荣传统，大力营造爱国拥军的浓厚社会氛围；科普宣讲知识进学校活动，提高了学生科学素养；乳源瑶族自治县垃圾分类“绿色生活，我先行，从垃圾分类开始”宣传活动，美化了社会环境。</w:t>
      </w:r>
      <w:r>
        <w:rPr>
          <w:rFonts w:hint="eastAsia" w:ascii="仿宋_GB2312" w:hAnsi="仿宋_GB2312" w:eastAsia="仿宋_GB2312"/>
          <w:sz w:val="32"/>
          <w:szCs w:val="32"/>
          <w:lang w:eastAsia="zh-CN"/>
        </w:rPr>
        <w:t>该项目圆满完成本年度工作任务，实现预期目标，资金使用科学有效，资金支出安全及时。</w:t>
      </w:r>
    </w:p>
    <w:p>
      <w:pPr>
        <w:ind w:left="0" w:leftChars="0" w:right="0" w:rightChars="0" w:firstLine="640" w:firstLineChars="200"/>
        <w:jc w:val="left"/>
        <w:rPr>
          <w:rFonts w:hint="eastAsia" w:ascii="仿宋_GB2312" w:eastAsia="仿宋_GB2312"/>
          <w:sz w:val="32"/>
          <w:szCs w:val="32"/>
          <w:lang w:eastAsia="zh-CN"/>
        </w:rPr>
      </w:pPr>
      <w:r>
        <w:rPr>
          <w:rFonts w:hint="eastAsia" w:ascii="黑体" w:hAnsi="黑体" w:eastAsia="黑体"/>
          <w:sz w:val="32"/>
          <w:lang w:eastAsia="zh-CN"/>
        </w:rPr>
        <w:t>三、</w:t>
      </w:r>
      <w:r>
        <w:rPr>
          <w:rFonts w:hint="eastAsia" w:ascii="黑体" w:hAnsi="黑体" w:eastAsia="黑体"/>
          <w:sz w:val="32"/>
        </w:rPr>
        <w:t>存在问题及改进意见</w:t>
      </w:r>
    </w:p>
    <w:p>
      <w:pPr>
        <w:spacing w:line="360" w:lineRule="auto"/>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eastAsia="zh-CN"/>
        </w:rPr>
        <w:t>（一）</w:t>
      </w:r>
      <w:r>
        <w:rPr>
          <w:rFonts w:hint="eastAsia" w:ascii="方正楷体_GBK" w:hAnsi="方正楷体_GBK" w:eastAsia="方正楷体_GBK" w:cs="方正楷体_GBK"/>
          <w:sz w:val="32"/>
          <w:szCs w:val="32"/>
        </w:rPr>
        <w:t>存在问题</w:t>
      </w:r>
    </w:p>
    <w:p>
      <w:pPr>
        <w:spacing w:line="360" w:lineRule="auto"/>
        <w:ind w:firstLine="640" w:firstLineChars="200"/>
        <w:rPr>
          <w:rFonts w:hint="eastAsia" w:ascii="仿宋_GB2312" w:eastAsia="仿宋_GB2312"/>
          <w:sz w:val="32"/>
          <w:szCs w:val="32"/>
          <w:lang w:val="en-US" w:eastAsia="zh-CN"/>
        </w:rPr>
      </w:pPr>
      <w:r>
        <w:rPr>
          <w:rFonts w:ascii="仿宋_GB2312" w:hAnsi="微软雅黑" w:eastAsia="仿宋_GB2312" w:cs="仿宋_GB2312"/>
          <w:kern w:val="2"/>
          <w:sz w:val="32"/>
          <w:szCs w:val="32"/>
        </w:rPr>
        <w:t>培训方式及促进非公经济发展</w:t>
      </w:r>
      <w:r>
        <w:rPr>
          <w:rFonts w:hint="default" w:ascii="仿宋_GB2312" w:hAnsi="微软雅黑" w:eastAsia="仿宋_GB2312" w:cs="仿宋_GB2312"/>
          <w:kern w:val="2"/>
          <w:sz w:val="32"/>
          <w:szCs w:val="32"/>
        </w:rPr>
        <w:t>办法举措还不够丰富</w:t>
      </w:r>
      <w:r>
        <w:rPr>
          <w:rFonts w:hint="eastAsia" w:ascii="仿宋_GB2312" w:hAnsi="微软雅黑" w:eastAsia="仿宋_GB2312" w:cs="仿宋_GB2312"/>
          <w:kern w:val="2"/>
          <w:sz w:val="32"/>
          <w:szCs w:val="32"/>
          <w:lang w:eastAsia="zh-CN"/>
        </w:rPr>
        <w:t>，</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w:t>
      </w:r>
      <w:r>
        <w:rPr>
          <w:rFonts w:hint="eastAsia" w:ascii="仿宋_GB2312" w:eastAsia="仿宋_GB2312"/>
          <w:sz w:val="32"/>
          <w:szCs w:val="32"/>
          <w:lang w:val="en-US" w:eastAsia="zh-CN"/>
        </w:rPr>
        <w:t>.</w:t>
      </w:r>
      <w:r>
        <w:rPr>
          <w:rFonts w:hint="default" w:ascii="仿宋_GB2312" w:eastAsia="仿宋_GB2312"/>
          <w:sz w:val="32"/>
          <w:szCs w:val="32"/>
          <w:lang w:val="en-US" w:eastAsia="zh-CN"/>
        </w:rPr>
        <w:t>完善管理机制，强化项目管理。按照以人为本的原则，项目管理落实到人，确保投入资金专款专用，强化资金管理，提高使用效率。</w:t>
      </w:r>
    </w:p>
    <w:p>
      <w:pPr>
        <w:spacing w:line="360" w:lineRule="auto"/>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3</w:t>
      </w:r>
      <w:r>
        <w:rPr>
          <w:rFonts w:hint="eastAsia" w:ascii="仿宋_GB2312" w:eastAsia="仿宋_GB2312"/>
          <w:sz w:val="32"/>
          <w:szCs w:val="32"/>
          <w:lang w:val="en-US" w:eastAsia="zh-CN"/>
        </w:rPr>
        <w:t>.</w:t>
      </w:r>
      <w:r>
        <w:rPr>
          <w:rFonts w:hint="default" w:ascii="仿宋_GB2312" w:eastAsia="仿宋_GB2312"/>
          <w:sz w:val="32"/>
          <w:szCs w:val="32"/>
          <w:lang w:val="en-US" w:eastAsia="zh-CN"/>
        </w:rPr>
        <w:t>提高队伍素质，加强绩效管理学习和培训。提高对预算绩效管理基本知识重要性的认识，加强对预算绩效管理知识的学习，提高管理人员政治和业务素质，从而提高绩效管理水平。</w:t>
      </w:r>
    </w:p>
    <w:p>
      <w:pPr>
        <w:spacing w:line="360" w:lineRule="auto"/>
        <w:ind w:firstLine="640" w:firstLineChars="200"/>
        <w:rPr>
          <w:rFonts w:hint="default" w:ascii="仿宋_GB2312" w:eastAsia="仿宋_GB2312"/>
          <w:sz w:val="32"/>
          <w:szCs w:val="32"/>
          <w:lang w:val="en-US" w:eastAsia="zh-CN"/>
        </w:rPr>
      </w:pPr>
    </w:p>
    <w:p>
      <w:pPr>
        <w:spacing w:line="360" w:lineRule="auto"/>
        <w:ind w:firstLine="640" w:firstLineChars="200"/>
        <w:rPr>
          <w:rFonts w:hint="default" w:ascii="仿宋_GB2312" w:eastAsia="仿宋_GB2312"/>
          <w:sz w:val="32"/>
          <w:szCs w:val="32"/>
          <w:lang w:val="en-US" w:eastAsia="zh-CN"/>
        </w:rPr>
      </w:pPr>
    </w:p>
    <w:p>
      <w:pPr>
        <w:spacing w:line="360" w:lineRule="auto"/>
        <w:ind w:firstLine="640" w:firstLineChars="200"/>
        <w:rPr>
          <w:rFonts w:hint="default" w:ascii="仿宋_GB2312" w:eastAsia="仿宋_GB2312"/>
          <w:sz w:val="32"/>
          <w:szCs w:val="32"/>
          <w:lang w:val="en-US" w:eastAsia="zh-CN"/>
        </w:rPr>
      </w:pPr>
    </w:p>
    <w:p>
      <w:pPr>
        <w:spacing w:line="360" w:lineRule="auto"/>
        <w:ind w:firstLine="4480" w:firstLineChars="1400"/>
      </w:pPr>
      <w:r>
        <w:rPr>
          <w:rFonts w:hint="eastAsia" w:ascii="仿宋_GB2312" w:eastAsia="仿宋_GB2312"/>
          <w:sz w:val="32"/>
          <w:szCs w:val="32"/>
          <w:lang w:val="en-US" w:eastAsia="zh-CN"/>
        </w:rPr>
        <w:t>乳源瑶族自治县工商业联合会</w:t>
      </w:r>
    </w:p>
    <w:p>
      <w:pPr>
        <w:spacing w:line="360" w:lineRule="auto"/>
        <w:ind w:firstLine="5120" w:firstLineChars="1600"/>
        <w:rPr>
          <w:rFonts w:hint="default" w:ascii="仿宋_GB2312" w:eastAsia="仿宋_GB2312"/>
          <w:sz w:val="32"/>
          <w:szCs w:val="32"/>
          <w:lang w:val="en-US" w:eastAsia="zh-CN"/>
        </w:rPr>
      </w:pPr>
      <w:r>
        <w:rPr>
          <w:rFonts w:hint="eastAsia" w:ascii="仿宋_GB2312" w:eastAsia="仿宋_GB2312"/>
          <w:sz w:val="32"/>
          <w:szCs w:val="32"/>
          <w:lang w:val="en-US" w:eastAsia="zh-CN"/>
        </w:rPr>
        <w:t>2024年5月16日</w:t>
      </w:r>
    </w:p>
    <w:p>
      <w:pPr>
        <w:spacing w:line="360" w:lineRule="auto"/>
        <w:ind w:firstLine="4480" w:firstLineChars="1400"/>
        <w:rPr>
          <w:rFonts w:hint="eastAsia" w:ascii="仿宋_GB2312" w:eastAsia="仿宋_GB2312"/>
          <w:sz w:val="32"/>
          <w:szCs w:val="32"/>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FangSong.GB2312">
    <w:altName w:val="仿宋_GB2312"/>
    <w:panose1 w:val="00000000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3N2M1YzhmZjJjYzk4OTg4NTliMTFhZjIyYWRjYWYifQ=="/>
  </w:docVars>
  <w:rsids>
    <w:rsidRoot w:val="00F22CA7"/>
    <w:rsid w:val="000560B1"/>
    <w:rsid w:val="00182223"/>
    <w:rsid w:val="00384B9C"/>
    <w:rsid w:val="003B25CA"/>
    <w:rsid w:val="004903E7"/>
    <w:rsid w:val="00534213"/>
    <w:rsid w:val="005F481F"/>
    <w:rsid w:val="006F6EA7"/>
    <w:rsid w:val="00771B68"/>
    <w:rsid w:val="0087074D"/>
    <w:rsid w:val="00916C35"/>
    <w:rsid w:val="009C14D0"/>
    <w:rsid w:val="00E409B6"/>
    <w:rsid w:val="00EE444F"/>
    <w:rsid w:val="00F22CA7"/>
    <w:rsid w:val="02EE1009"/>
    <w:rsid w:val="02F024E4"/>
    <w:rsid w:val="03E77005"/>
    <w:rsid w:val="07CF5688"/>
    <w:rsid w:val="08FD4BD5"/>
    <w:rsid w:val="0A001585"/>
    <w:rsid w:val="0A9B28F7"/>
    <w:rsid w:val="0F7B6853"/>
    <w:rsid w:val="0FDF1746"/>
    <w:rsid w:val="10BE733F"/>
    <w:rsid w:val="12115E90"/>
    <w:rsid w:val="12D270D2"/>
    <w:rsid w:val="154047C7"/>
    <w:rsid w:val="156F29B6"/>
    <w:rsid w:val="1AF5570C"/>
    <w:rsid w:val="1AFC4CEC"/>
    <w:rsid w:val="1B55543B"/>
    <w:rsid w:val="1BEA0FB0"/>
    <w:rsid w:val="22943503"/>
    <w:rsid w:val="24D3760E"/>
    <w:rsid w:val="28CA01D8"/>
    <w:rsid w:val="29634188"/>
    <w:rsid w:val="29CB06AB"/>
    <w:rsid w:val="2A0C3112"/>
    <w:rsid w:val="2BA5335C"/>
    <w:rsid w:val="2CF55A3F"/>
    <w:rsid w:val="313F372D"/>
    <w:rsid w:val="329D070B"/>
    <w:rsid w:val="337404DB"/>
    <w:rsid w:val="360D204B"/>
    <w:rsid w:val="363F6125"/>
    <w:rsid w:val="37F039D3"/>
    <w:rsid w:val="39921607"/>
    <w:rsid w:val="3B8406BA"/>
    <w:rsid w:val="3F123C7F"/>
    <w:rsid w:val="3FFD7BD1"/>
    <w:rsid w:val="42411862"/>
    <w:rsid w:val="44507CD3"/>
    <w:rsid w:val="468762A1"/>
    <w:rsid w:val="49457951"/>
    <w:rsid w:val="4B3981EF"/>
    <w:rsid w:val="4C4023DB"/>
    <w:rsid w:val="4C6C31D0"/>
    <w:rsid w:val="509251CF"/>
    <w:rsid w:val="517448D5"/>
    <w:rsid w:val="5375086E"/>
    <w:rsid w:val="5AB04BD0"/>
    <w:rsid w:val="5DFFB347"/>
    <w:rsid w:val="5FEE1324"/>
    <w:rsid w:val="615A5895"/>
    <w:rsid w:val="67006EDF"/>
    <w:rsid w:val="696F3EA8"/>
    <w:rsid w:val="6A0445F0"/>
    <w:rsid w:val="6E0E5A3E"/>
    <w:rsid w:val="724E6D50"/>
    <w:rsid w:val="787B0173"/>
    <w:rsid w:val="789D27E0"/>
    <w:rsid w:val="7927654D"/>
    <w:rsid w:val="7BCB1412"/>
    <w:rsid w:val="7BFCE6B6"/>
    <w:rsid w:val="7C6FA296"/>
    <w:rsid w:val="7F7E119A"/>
    <w:rsid w:val="8FF183B0"/>
    <w:rsid w:val="96DF9B7E"/>
    <w:rsid w:val="DF78A1D5"/>
    <w:rsid w:val="DFA7C050"/>
    <w:rsid w:val="EBFDBF99"/>
    <w:rsid w:val="EDAB8115"/>
    <w:rsid w:val="EF8FCB2C"/>
    <w:rsid w:val="EF975BD4"/>
    <w:rsid w:val="EFF19298"/>
    <w:rsid w:val="F67AD666"/>
    <w:rsid w:val="F803537E"/>
    <w:rsid w:val="FA6F3FAD"/>
    <w:rsid w:val="FBF7A498"/>
    <w:rsid w:val="FBFF5128"/>
    <w:rsid w:val="FE2F1F38"/>
    <w:rsid w:val="FED39C80"/>
    <w:rsid w:val="FFE6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Normal"/>
    <w:qFormat/>
    <w:uiPriority w:val="0"/>
    <w:pPr>
      <w:jc w:val="both"/>
    </w:pPr>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1151</Words>
  <Characters>1154</Characters>
  <Lines>1</Lines>
  <Paragraphs>1</Paragraphs>
  <TotalTime>5</TotalTime>
  <ScaleCrop>false</ScaleCrop>
  <LinksUpToDate>false</LinksUpToDate>
  <CharactersWithSpaces>1167</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2016-12-03T15:04:00Z</dcterms:created>
  <dc:creator>lenovo</dc:creator>
  <cp:lastModifiedBy>user</cp:lastModifiedBy>
  <cp:lastPrinted>2022-06-01T15:48:00Z</cp:lastPrinted>
  <dcterms:modified xsi:type="dcterms:W3CDTF">2024-09-12T16:47:40Z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52E02219CB8B70B3CE7445669783668B</vt:lpwstr>
  </property>
</Properties>
</file>