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000000"/>
          <w:sz w:val="32"/>
        </w:rPr>
      </w:pPr>
    </w:p>
    <w:p>
      <w:pPr>
        <w:spacing w:line="560" w:lineRule="exact"/>
        <w:rPr>
          <w:rFonts w:ascii="宋体" w:hAnsi="宋体"/>
          <w:b/>
          <w:sz w:val="36"/>
          <w:szCs w:val="36"/>
        </w:rPr>
      </w:pPr>
    </w:p>
    <w:p>
      <w:pPr>
        <w:jc w:val="center"/>
        <w:rPr>
          <w:rFonts w:ascii="宋体" w:hAnsi="宋体"/>
          <w:b/>
          <w:sz w:val="36"/>
          <w:szCs w:val="36"/>
        </w:rPr>
      </w:pPr>
      <w:r>
        <w:rPr>
          <w:rFonts w:hint="eastAsia" w:ascii="宋体" w:hAnsi="宋体"/>
          <w:b/>
          <w:sz w:val="36"/>
          <w:szCs w:val="36"/>
        </w:rPr>
        <w:t>镇域经济发展监测与核算工作经费项目绩效自评报告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color w:val="auto"/>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是正科级行政单位，包括</w:t>
      </w:r>
      <w:r>
        <w:rPr>
          <w:rFonts w:hint="eastAsia" w:ascii="仿宋_GB2312" w:eastAsia="仿宋_GB2312"/>
          <w:color w:val="auto"/>
          <w:sz w:val="32"/>
          <w:szCs w:val="32"/>
          <w:lang w:val="en-US" w:eastAsia="zh-CN"/>
        </w:rPr>
        <w:t>1个下属单位乳源瑶族自治县普查中心(非独立核算单位）</w:t>
      </w:r>
      <w:r>
        <w:rPr>
          <w:rFonts w:hint="eastAsia" w:ascii="仿宋_GB2312" w:eastAsia="仿宋_GB2312"/>
          <w:color w:val="auto"/>
          <w:sz w:val="32"/>
          <w:szCs w:val="32"/>
          <w:lang w:eastAsia="zh-CN"/>
        </w:rPr>
        <w:t>，</w:t>
      </w:r>
      <w:r>
        <w:rPr>
          <w:rFonts w:hint="eastAsia" w:ascii="仿宋_GB2312" w:hAnsi="Times New Roman" w:eastAsia="仿宋_GB2312" w:cs="Times New Roman"/>
          <w:sz w:val="32"/>
          <w:szCs w:val="32"/>
          <w:lang w:eastAsia="zh-CN"/>
        </w:rPr>
        <w:t>其</w:t>
      </w:r>
      <w:r>
        <w:rPr>
          <w:rFonts w:hint="eastAsia" w:ascii="仿宋_GB2312" w:hAnsi="Times New Roman" w:eastAsia="仿宋_GB2312" w:cs="Times New Roman"/>
          <w:sz w:val="32"/>
          <w:szCs w:val="32"/>
        </w:rPr>
        <w:t>主要职责</w:t>
      </w:r>
      <w:bookmarkStart w:id="0" w:name="PO_part1Responsibilities"/>
      <w:r>
        <w:rPr>
          <w:rFonts w:hint="eastAsia" w:ascii="仿宋_GB2312" w:hAnsi="Times New Roman" w:eastAsia="仿宋_GB2312" w:cs="Times New Roman"/>
          <w:sz w:val="32"/>
          <w:szCs w:val="32"/>
          <w:lang w:eastAsia="zh-CN"/>
        </w:rPr>
        <w:t>：贯彻执行国家和省、市有关统计工作的方针政策、法律法规和方法</w:t>
      </w:r>
      <w:r>
        <w:rPr>
          <w:rFonts w:hint="eastAsia" w:ascii="仿宋_GB2312" w:hAnsi="Times New Roman" w:eastAsia="仿宋_GB2312" w:cs="Times New Roman"/>
          <w:sz w:val="32"/>
          <w:szCs w:val="32"/>
        </w:rPr>
        <w:t>制度</w:t>
      </w:r>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组织实施全县国民经济核算制度和投入产出调查</w:t>
      </w:r>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组织实施农林牧渔业、工业、建筑业、批发和零售业、住宿和餐饮业、房地产业、城乡居民收入</w:t>
      </w:r>
      <w:r>
        <w:rPr>
          <w:rFonts w:hint="eastAsia" w:ascii="仿宋_GB2312" w:hAnsi="Times New Roman" w:eastAsia="仿宋_GB2312" w:cs="Times New Roman"/>
          <w:sz w:val="32"/>
          <w:szCs w:val="32"/>
          <w:lang w:eastAsia="zh-CN"/>
        </w:rPr>
        <w:t>、能源、投资、</w:t>
      </w:r>
      <w:r>
        <w:rPr>
          <w:rFonts w:hint="eastAsia" w:ascii="仿宋_GB2312" w:hAnsi="Times New Roman" w:eastAsia="仿宋_GB2312" w:cs="Times New Roman"/>
          <w:sz w:val="32"/>
          <w:szCs w:val="32"/>
        </w:rPr>
        <w:t>科技、人口、劳动力、社会发展基本情况等统计调查</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依法备案各镇、各部门统计调查项目</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建立并管理全县统计</w:t>
      </w:r>
      <w:r>
        <w:rPr>
          <w:rFonts w:hint="eastAsia" w:ascii="仿宋_GB2312" w:hAnsi="Times New Roman" w:eastAsia="仿宋_GB2312" w:cs="Times New Roman"/>
          <w:color w:val="auto"/>
          <w:sz w:val="32"/>
          <w:szCs w:val="32"/>
        </w:rPr>
        <w:t>信息化系统和统计数据库系统</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 xml:space="preserve">完成县委、县政府和市统计局交办的其他任务。  </w:t>
      </w:r>
      <w:bookmarkEnd w:id="0"/>
    </w:p>
    <w:p>
      <w:pPr>
        <w:numPr>
          <w:ilvl w:val="0"/>
          <w:numId w:val="1"/>
        </w:num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color w:val="auto"/>
          <w:lang w:val="en-US" w:eastAsia="zh-CN"/>
        </w:rPr>
      </w:pPr>
      <w:r>
        <w:rPr>
          <w:rFonts w:hint="eastAsia" w:ascii="仿宋_GB2312" w:hAnsi="å®‹ä½“" w:eastAsia="仿宋_GB2312" w:cs="仿宋_GB2312"/>
          <w:i w:val="0"/>
          <w:caps w:val="0"/>
          <w:color w:val="auto"/>
          <w:spacing w:val="0"/>
          <w:kern w:val="0"/>
          <w:sz w:val="32"/>
          <w:szCs w:val="32"/>
          <w:lang w:val="en-US" w:eastAsia="zh-CN" w:bidi="ar"/>
        </w:rPr>
        <w:t>1、</w:t>
      </w:r>
      <w:r>
        <w:rPr>
          <w:rFonts w:hint="default" w:ascii="仿宋_GB2312" w:hAnsi="å®‹ä½“" w:eastAsia="仿宋_GB2312" w:cs="仿宋_GB2312"/>
          <w:i w:val="0"/>
          <w:caps w:val="0"/>
          <w:color w:val="auto"/>
          <w:spacing w:val="0"/>
          <w:kern w:val="0"/>
          <w:sz w:val="32"/>
          <w:szCs w:val="32"/>
          <w:lang w:val="en-US" w:eastAsia="zh-CN" w:bidi="ar"/>
        </w:rPr>
        <w:t>合理编制绩效目标。结合年度绩效考评方案和年度工作计划，召集相关业务</w:t>
      </w:r>
      <w:r>
        <w:rPr>
          <w:rFonts w:hint="eastAsia" w:ascii="仿宋_GB2312" w:hAnsi="å®‹ä½“" w:eastAsia="仿宋_GB2312" w:cs="仿宋_GB2312"/>
          <w:i w:val="0"/>
          <w:caps w:val="0"/>
          <w:color w:val="auto"/>
          <w:spacing w:val="0"/>
          <w:kern w:val="0"/>
          <w:sz w:val="32"/>
          <w:szCs w:val="32"/>
          <w:lang w:val="en-US" w:eastAsia="zh-CN" w:bidi="ar"/>
        </w:rPr>
        <w:t>股</w:t>
      </w:r>
      <w:r>
        <w:rPr>
          <w:rFonts w:hint="default" w:ascii="仿宋_GB2312" w:hAnsi="å®‹ä½“" w:eastAsia="仿宋_GB2312" w:cs="仿宋_GB2312"/>
          <w:i w:val="0"/>
          <w:caps w:val="0"/>
          <w:color w:val="auto"/>
          <w:spacing w:val="0"/>
          <w:kern w:val="0"/>
          <w:sz w:val="32"/>
          <w:szCs w:val="32"/>
          <w:lang w:val="en-US" w:eastAsia="zh-CN" w:bidi="ar"/>
        </w:rPr>
        <w:t>室负责人进行探讨、研究、论证，参考以前年度的相关数据，制定了符合实际、可考评的年度目标。资金覆盖率和项目覆盖率符合年度预算布置要求。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highlight w:val="none"/>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2、</w:t>
      </w:r>
      <w:r>
        <w:rPr>
          <w:rFonts w:hint="eastAsia" w:ascii="仿宋_GB2312" w:hAnsi="å®‹ä½“" w:eastAsia="仿宋_GB2312" w:cs="仿宋_GB2312"/>
          <w:i w:val="0"/>
          <w:caps w:val="0"/>
          <w:color w:val="auto"/>
          <w:spacing w:val="0"/>
          <w:kern w:val="0"/>
          <w:sz w:val="32"/>
          <w:szCs w:val="32"/>
          <w:highlight w:val="none"/>
          <w:lang w:val="en-US" w:eastAsia="zh-CN" w:bidi="ar"/>
        </w:rPr>
        <w:t>健全项目管理方案。我局已有保证项目实施的方案，如《乳源瑶族自治县关于推进赋能强镇加快镇域经济高质量发展的实施方案》。</w:t>
      </w:r>
    </w:p>
    <w:p>
      <w:pPr>
        <w:spacing w:line="360" w:lineRule="auto"/>
        <w:ind w:firstLine="640" w:firstLineChars="200"/>
        <w:rPr>
          <w:rFonts w:hint="default"/>
          <w:color w:val="auto"/>
          <w:lang w:val="en-US" w:eastAsia="zh-CN"/>
        </w:rPr>
      </w:pPr>
      <w:r>
        <w:rPr>
          <w:rFonts w:hint="eastAsia" w:ascii="仿宋_GB2312" w:hAnsi="å®‹ä½“" w:eastAsia="仿宋_GB2312" w:cs="仿宋_GB2312"/>
          <w:i w:val="0"/>
          <w:caps w:val="0"/>
          <w:color w:val="auto"/>
          <w:spacing w:val="0"/>
          <w:kern w:val="0"/>
          <w:sz w:val="32"/>
          <w:szCs w:val="32"/>
          <w:lang w:val="en-US" w:eastAsia="zh-CN" w:bidi="ar"/>
        </w:rPr>
        <w:t>3、</w:t>
      </w:r>
      <w:r>
        <w:rPr>
          <w:rFonts w:hint="default" w:ascii="仿宋_GB2312" w:hAnsi="å®‹ä½“" w:eastAsia="仿宋_GB2312" w:cs="仿宋_GB2312"/>
          <w:i w:val="0"/>
          <w:caps w:val="0"/>
          <w:color w:val="auto"/>
          <w:spacing w:val="0"/>
          <w:kern w:val="0"/>
          <w:sz w:val="32"/>
          <w:szCs w:val="32"/>
          <w:lang w:val="en-US" w:eastAsia="zh-CN" w:bidi="ar"/>
        </w:rPr>
        <w:t>开展绩效动态监控。按季度开展项目支出绩效监控工作，及时收集汇总季度目标完成情况，发现严重偏差，及时反馈，采取有效措施，重点跟踪，及时纠偏，阶段性任务能够按计划完成，全年性任务基本能够按序时进度执行，保证了年度目标任务的完成。</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eastAsia="仿宋_GB2312"/>
          <w:color w:val="auto"/>
          <w:sz w:val="32"/>
          <w:szCs w:val="32"/>
          <w:lang w:val="en-US" w:eastAsia="zh-CN"/>
        </w:rPr>
        <w:t>综</w:t>
      </w:r>
      <w:r>
        <w:rPr>
          <w:rFonts w:hint="eastAsia" w:ascii="仿宋_GB2312" w:eastAsia="仿宋_GB2312"/>
          <w:color w:val="auto"/>
          <w:sz w:val="32"/>
          <w:szCs w:val="32"/>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自评等级是：优，自评分数是：90分。</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spacing w:line="360" w:lineRule="auto"/>
        <w:ind w:firstLine="640" w:firstLineChars="200"/>
        <w:rPr>
          <w:rFonts w:hint="default" w:ascii="仿宋_GB2312" w:hAnsi="Times New Roman" w:eastAsia="仿宋_GB2312" w:cs="Times New Roman"/>
          <w:color w:val="auto"/>
          <w:sz w:val="32"/>
          <w:szCs w:val="32"/>
          <w:lang w:val="en-US"/>
        </w:rPr>
      </w:pPr>
      <w:r>
        <w:rPr>
          <w:rFonts w:hint="eastAsia" w:ascii="仿宋_GB2312" w:hAnsi="Times New Roman" w:eastAsia="仿宋_GB2312" w:cs="Times New Roman"/>
          <w:color w:val="auto"/>
          <w:sz w:val="32"/>
          <w:szCs w:val="32"/>
          <w:lang w:val="en-US" w:eastAsia="zh-CN"/>
        </w:rPr>
        <w:t>镇域经济发展监测与核算工作经费项目202</w:t>
      </w:r>
      <w:r>
        <w:rPr>
          <w:rFonts w:hint="eastAsia" w:ascii="仿宋_GB2312" w:eastAsia="仿宋_GB2312" w:cs="Times New Roman"/>
          <w:color w:val="auto"/>
          <w:sz w:val="32"/>
          <w:szCs w:val="32"/>
          <w:lang w:val="en-US" w:eastAsia="zh-CN"/>
        </w:rPr>
        <w:t>3</w:t>
      </w:r>
      <w:r>
        <w:rPr>
          <w:rFonts w:hint="eastAsia" w:ascii="仿宋_GB2312" w:hAnsi="Times New Roman" w:eastAsia="仿宋_GB2312" w:cs="Times New Roman"/>
          <w:color w:val="auto"/>
          <w:sz w:val="32"/>
          <w:szCs w:val="32"/>
          <w:lang w:val="en-US" w:eastAsia="zh-CN"/>
        </w:rPr>
        <w:t>年总投入为</w:t>
      </w:r>
      <w:r>
        <w:rPr>
          <w:rFonts w:hint="eastAsia" w:ascii="仿宋_GB2312" w:eastAsia="仿宋_GB2312" w:cs="Times New Roman"/>
          <w:color w:val="auto"/>
          <w:sz w:val="32"/>
          <w:szCs w:val="32"/>
          <w:lang w:val="en-US" w:eastAsia="zh-CN"/>
        </w:rPr>
        <w:t>0.</w:t>
      </w:r>
      <w:r>
        <w:rPr>
          <w:rFonts w:hint="eastAsia" w:ascii="仿宋_GB2312" w:hAnsi="Times New Roman" w:eastAsia="仿宋_GB2312" w:cs="Times New Roman"/>
          <w:color w:val="auto"/>
          <w:sz w:val="32"/>
          <w:szCs w:val="32"/>
          <w:lang w:val="en-US" w:eastAsia="zh-CN"/>
        </w:rPr>
        <w:t>25万元。</w:t>
      </w:r>
      <w:r>
        <w:rPr>
          <w:rFonts w:hint="eastAsia" w:ascii="仿宋_GB2312" w:eastAsia="仿宋_GB2312" w:cs="Times New Roman"/>
          <w:color w:val="auto"/>
          <w:sz w:val="32"/>
          <w:szCs w:val="32"/>
          <w:lang w:val="en-US" w:eastAsia="zh-CN"/>
        </w:rPr>
        <w:t>2023年财政</w:t>
      </w:r>
      <w:r>
        <w:rPr>
          <w:rFonts w:hint="eastAsia" w:ascii="仿宋_GB2312" w:hAnsi="Times New Roman" w:eastAsia="仿宋_GB2312" w:cs="Times New Roman"/>
          <w:color w:val="auto"/>
          <w:sz w:val="32"/>
          <w:szCs w:val="32"/>
          <w:lang w:val="en-US" w:eastAsia="zh-CN"/>
        </w:rPr>
        <w:t>下拨项目资金累计</w:t>
      </w:r>
      <w:r>
        <w:rPr>
          <w:rFonts w:hint="eastAsia" w:ascii="仿宋_GB2312" w:eastAsia="仿宋_GB2312" w:cs="Times New Roman"/>
          <w:color w:val="auto"/>
          <w:sz w:val="32"/>
          <w:szCs w:val="32"/>
          <w:lang w:val="en-US" w:eastAsia="zh-CN"/>
        </w:rPr>
        <w:t>0.25</w:t>
      </w:r>
      <w:r>
        <w:rPr>
          <w:rFonts w:hint="eastAsia" w:ascii="仿宋_GB2312" w:hAnsi="Times New Roman" w:eastAsia="仿宋_GB2312" w:cs="Times New Roman"/>
          <w:color w:val="auto"/>
          <w:sz w:val="32"/>
          <w:szCs w:val="32"/>
          <w:lang w:val="en-US" w:eastAsia="zh-CN"/>
        </w:rPr>
        <w:t>万元全部到位，资金到位率100%</w:t>
      </w:r>
      <w:r>
        <w:rPr>
          <w:rFonts w:hint="eastAsia" w:ascii="仿宋_GB2312" w:eastAsia="仿宋_GB2312" w:cs="Times New Roman"/>
          <w:color w:val="auto"/>
          <w:sz w:val="32"/>
          <w:szCs w:val="32"/>
          <w:lang w:val="en-US" w:eastAsia="zh-CN"/>
        </w:rPr>
        <w:t>。</w:t>
      </w:r>
    </w:p>
    <w:p>
      <w:pPr>
        <w:numPr>
          <w:ilvl w:val="0"/>
          <w:numId w:val="2"/>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spacing w:line="360" w:lineRule="auto"/>
        <w:ind w:firstLine="640" w:firstLineChars="200"/>
        <w:rPr>
          <w:rFonts w:hint="default" w:ascii="仿宋_GB2312" w:hAnsi="Times New Roman" w:eastAsia="仿宋_GB2312" w:cs="Times New Roman"/>
          <w:color w:val="auto"/>
          <w:sz w:val="32"/>
          <w:szCs w:val="32"/>
          <w:highlight w:val="yellow"/>
          <w:lang w:val="en-US" w:eastAsia="zh-CN"/>
        </w:rPr>
      </w:pPr>
      <w:r>
        <w:rPr>
          <w:rFonts w:hint="default" w:ascii="仿宋_GB2312" w:hAnsi="å®‹ä½“" w:eastAsia="仿宋_GB2312" w:cs="仿宋_GB2312"/>
          <w:b w:val="0"/>
          <w:bCs w:val="0"/>
          <w:i w:val="0"/>
          <w:caps w:val="0"/>
          <w:color w:val="auto"/>
          <w:spacing w:val="0"/>
          <w:kern w:val="0"/>
          <w:sz w:val="32"/>
          <w:szCs w:val="32"/>
          <w:lang w:val="en-US" w:eastAsia="zh-CN" w:bidi="ar"/>
        </w:rPr>
        <w:t>20</w:t>
      </w:r>
      <w:r>
        <w:rPr>
          <w:rFonts w:hint="eastAsia" w:ascii="仿宋_GB2312" w:hAnsi="å®‹ä½“" w:eastAsia="仿宋_GB2312" w:cs="仿宋_GB2312"/>
          <w:b w:val="0"/>
          <w:bCs w:val="0"/>
          <w:i w:val="0"/>
          <w:caps w:val="0"/>
          <w:color w:val="auto"/>
          <w:spacing w:val="0"/>
          <w:kern w:val="0"/>
          <w:sz w:val="32"/>
          <w:szCs w:val="32"/>
          <w:lang w:val="en-US" w:eastAsia="zh-CN" w:bidi="ar"/>
        </w:rPr>
        <w:t>23年</w:t>
      </w:r>
      <w:r>
        <w:rPr>
          <w:rFonts w:hint="eastAsia" w:ascii="仿宋_GB2312" w:hAnsi="Times New Roman" w:eastAsia="仿宋_GB2312" w:cs="Times New Roman"/>
          <w:color w:val="auto"/>
          <w:sz w:val="32"/>
          <w:szCs w:val="32"/>
          <w:lang w:val="en-US" w:eastAsia="zh-CN"/>
        </w:rPr>
        <w:t>镇域经济发展监测与核算工作经费项目</w:t>
      </w:r>
      <w:r>
        <w:rPr>
          <w:rFonts w:hint="default" w:ascii="仿宋_GB2312" w:hAnsi="å®‹ä½“" w:eastAsia="仿宋_GB2312" w:cs="仿宋_GB2312"/>
          <w:b w:val="0"/>
          <w:bCs w:val="0"/>
          <w:i w:val="0"/>
          <w:caps w:val="0"/>
          <w:color w:val="auto"/>
          <w:spacing w:val="0"/>
          <w:kern w:val="0"/>
          <w:sz w:val="32"/>
          <w:szCs w:val="32"/>
          <w:lang w:val="en-US" w:eastAsia="zh-CN" w:bidi="ar"/>
        </w:rPr>
        <w:t>实际支出</w:t>
      </w:r>
      <w:r>
        <w:rPr>
          <w:rFonts w:hint="eastAsia" w:ascii="仿宋_GB2312" w:eastAsia="仿宋_GB2312" w:cs="Times New Roman"/>
          <w:color w:val="auto"/>
          <w:sz w:val="32"/>
          <w:szCs w:val="32"/>
          <w:lang w:val="en-US" w:eastAsia="zh-CN"/>
        </w:rPr>
        <w:t>0.25</w:t>
      </w:r>
      <w:r>
        <w:rPr>
          <w:rFonts w:hint="eastAsia" w:ascii="仿宋_GB2312" w:hAnsi="Times New Roman" w:eastAsia="仿宋_GB2312" w:cs="Times New Roman"/>
          <w:color w:val="auto"/>
          <w:sz w:val="32"/>
          <w:szCs w:val="32"/>
          <w:lang w:val="en-US" w:eastAsia="zh-CN"/>
        </w:rPr>
        <w:t>万元</w:t>
      </w:r>
      <w:r>
        <w:rPr>
          <w:rFonts w:hint="eastAsia" w:ascii="仿宋_GB2312" w:eastAsia="仿宋_GB2312" w:cs="Times New Roman"/>
          <w:color w:val="auto"/>
          <w:sz w:val="32"/>
          <w:szCs w:val="32"/>
          <w:lang w:val="en-US" w:eastAsia="zh-CN"/>
        </w:rPr>
        <w:t>，</w:t>
      </w:r>
      <w:r>
        <w:rPr>
          <w:rFonts w:hint="eastAsia" w:ascii="仿宋_GB2312" w:hAnsi="Times New Roman" w:eastAsia="仿宋_GB2312" w:cs="Times New Roman"/>
          <w:color w:val="auto"/>
          <w:sz w:val="32"/>
          <w:szCs w:val="32"/>
          <w:lang w:val="en-US" w:eastAsia="zh-CN"/>
        </w:rPr>
        <w:t>资金使用率</w:t>
      </w:r>
      <w:r>
        <w:rPr>
          <w:rFonts w:hint="eastAsia" w:ascii="仿宋_GB2312" w:eastAsia="仿宋_GB2312" w:cs="Times New Roman"/>
          <w:color w:val="auto"/>
          <w:sz w:val="32"/>
          <w:szCs w:val="32"/>
          <w:lang w:val="en-US" w:eastAsia="zh-CN"/>
        </w:rPr>
        <w:t>100</w:t>
      </w:r>
      <w:r>
        <w:rPr>
          <w:rFonts w:hint="eastAsia" w:ascii="仿宋_GB2312" w:hAnsi="Times New Roman" w:eastAsia="仿宋_GB2312" w:cs="Times New Roman"/>
          <w:color w:val="auto"/>
          <w:sz w:val="32"/>
          <w:szCs w:val="32"/>
          <w:lang w:val="en-US" w:eastAsia="zh-CN"/>
        </w:rPr>
        <w:t>%</w:t>
      </w:r>
      <w:r>
        <w:rPr>
          <w:rFonts w:hint="eastAsia" w:ascii="仿宋_GB2312" w:eastAsia="仿宋_GB2312" w:cs="Times New Roman"/>
          <w:color w:val="auto"/>
          <w:sz w:val="32"/>
          <w:szCs w:val="32"/>
          <w:lang w:val="en-US" w:eastAsia="zh-CN"/>
        </w:rPr>
        <w:t>。</w:t>
      </w:r>
      <w:r>
        <w:rPr>
          <w:rFonts w:hint="eastAsia" w:ascii="仿宋_GB2312" w:eastAsia="仿宋_GB2312" w:cs="Times New Roman"/>
          <w:color w:val="auto"/>
          <w:sz w:val="32"/>
          <w:szCs w:val="32"/>
          <w:highlight w:val="none"/>
          <w:lang w:val="en-US" w:eastAsia="zh-CN"/>
        </w:rPr>
        <w:t>主要用于对乡镇统计人员业务培训费0.25万元</w:t>
      </w:r>
      <w:r>
        <w:rPr>
          <w:rFonts w:hint="eastAsia" w:ascii="仿宋_GB2312" w:hAnsi="Times New Roman" w:eastAsia="仿宋_GB2312" w:cs="Times New Roman"/>
          <w:color w:val="auto"/>
          <w:sz w:val="32"/>
          <w:szCs w:val="32"/>
          <w:highlight w:val="none"/>
          <w:lang w:val="en-US" w:eastAsia="zh-CN"/>
        </w:rPr>
        <w:t>。培训次数</w:t>
      </w:r>
      <w:r>
        <w:rPr>
          <w:rFonts w:hint="eastAsia" w:ascii="仿宋_GB2312" w:eastAsia="仿宋_GB2312" w:cs="Times New Roman"/>
          <w:color w:val="auto"/>
          <w:sz w:val="32"/>
          <w:szCs w:val="32"/>
          <w:highlight w:val="none"/>
          <w:lang w:val="en-US" w:eastAsia="zh-CN"/>
        </w:rPr>
        <w:t>未达指标值原因是</w:t>
      </w:r>
      <w:r>
        <w:rPr>
          <w:rFonts w:hint="eastAsia" w:ascii="仿宋_GB2312" w:hAnsi="å®‹ä½“" w:eastAsia="仿宋_GB2312" w:cs="仿宋_GB2312"/>
          <w:i w:val="0"/>
          <w:caps w:val="0"/>
          <w:color w:val="auto"/>
          <w:spacing w:val="0"/>
          <w:kern w:val="0"/>
          <w:sz w:val="32"/>
          <w:szCs w:val="32"/>
          <w:lang w:val="en-US" w:eastAsia="zh-CN" w:bidi="ar"/>
        </w:rPr>
        <w:t>2023年原计划召开两次镇域经济培训，第一次计划在上半年召开，主要内容是通报2022年各镇高质量发展综合绩效评价情况与培训镇域经济考核、产业投资项目入库申报业务培训。第二次计划在11月左右召开，主要内容开展2023年度韶关市乡镇高质量发展综合绩效评价业务培训，但由于市统计局在11月2-3日已针对全市105个镇（街）的分管领导及业务人员统一召开了相关业务培训，且镇级及以下企业生产总值这项最重要的指标收集工作因为与五经普工作冲突，市里决定统一使用五经普数据，因此原计划2023年下半年召开的培训取消。</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color w:val="auto"/>
          <w:sz w:val="32"/>
          <w:szCs w:val="32"/>
        </w:rPr>
        <w:t>项目的绩效目标</w:t>
      </w:r>
      <w:r>
        <w:rPr>
          <w:rFonts w:hint="eastAsia" w:ascii="仿宋_GB2312" w:hAnsi="仿宋_GB2312" w:eastAsia="仿宋_GB2312"/>
          <w:color w:val="auto"/>
          <w:sz w:val="32"/>
          <w:szCs w:val="32"/>
          <w:lang w:val="en-US" w:eastAsia="zh-CN"/>
        </w:rPr>
        <w:t>完成情况</w:t>
      </w:r>
      <w:r>
        <w:rPr>
          <w:rFonts w:hint="eastAsia" w:ascii="仿宋_GB2312" w:hAnsi="仿宋_GB2312" w:eastAsia="仿宋_GB2312"/>
          <w:color w:val="auto"/>
          <w:sz w:val="32"/>
          <w:szCs w:val="32"/>
        </w:rPr>
        <w:t>（经济、政</w:t>
      </w:r>
      <w:r>
        <w:rPr>
          <w:rFonts w:hint="eastAsia" w:ascii="仿宋_GB2312" w:hAnsi="仿宋_GB2312" w:eastAsia="仿宋_GB2312"/>
          <w:sz w:val="32"/>
          <w:szCs w:val="32"/>
        </w:rPr>
        <w:t>治和社会效益）。</w:t>
      </w:r>
    </w:p>
    <w:p>
      <w:pPr>
        <w:spacing w:line="360" w:lineRule="auto"/>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加强对乡镇统计人员的业务培训、指导，不断提高乡镇统计队伍的业务能力，提高运用统计抓经济发展的能力，做到数出有据，提高监测指标数据的真实性。</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hint="eastAsia" w:ascii="仿宋_GB2312" w:eastAsia="仿宋_GB2312"/>
          <w:sz w:val="32"/>
          <w:szCs w:val="32"/>
        </w:rPr>
      </w:pPr>
      <w:r>
        <w:rPr>
          <w:rFonts w:hint="eastAsia" w:ascii="仿宋_GB2312" w:hAnsi="Times New Roman" w:eastAsia="仿宋_GB2312" w:cs="Times New Roman"/>
          <w:color w:val="auto"/>
          <w:sz w:val="32"/>
          <w:szCs w:val="32"/>
          <w:lang w:val="en-US" w:eastAsia="zh-CN"/>
        </w:rPr>
        <w:t>推进建立以反映人口、就业、产业项目投资、市场主体、特色产业、生产总值、财税收入等方面为重点的乡镇经济发展监测指标体系。</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hAnsi="Times New Roman" w:eastAsia="仿宋_GB2312" w:cs="Times New Roman"/>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pPr>
        <w:spacing w:line="360" w:lineRule="auto"/>
        <w:ind w:firstLine="640" w:firstLineChars="200"/>
        <w:rPr>
          <w:rFonts w:hint="eastAsia" w:ascii="仿宋_GB2312" w:eastAsia="仿宋_GB2312"/>
          <w:color w:val="000000"/>
          <w:sz w:val="32"/>
          <w:szCs w:val="32"/>
          <w:lang w:val="en-US" w:eastAsia="zh-CN"/>
        </w:rPr>
      </w:pPr>
    </w:p>
    <w:p>
      <w:pPr>
        <w:spacing w:line="360" w:lineRule="auto"/>
        <w:ind w:firstLine="4480" w:firstLineChars="1400"/>
        <w:rPr>
          <w:rFonts w:hint="eastAsia" w:ascii="仿宋_GB2312" w:eastAsia="仿宋_GB2312"/>
          <w:color w:val="000000"/>
          <w:sz w:val="32"/>
          <w:szCs w:val="32"/>
          <w:lang w:val="en-US" w:eastAsia="zh-CN"/>
        </w:rPr>
      </w:pPr>
      <w:bookmarkStart w:id="1" w:name="_GoBack"/>
      <w:bookmarkEnd w:id="1"/>
      <w:r>
        <w:rPr>
          <w:rFonts w:hint="eastAsia" w:ascii="仿宋_GB2312" w:eastAsia="仿宋_GB2312"/>
          <w:color w:val="000000"/>
          <w:sz w:val="32"/>
          <w:szCs w:val="32"/>
          <w:lang w:val="en-US" w:eastAsia="zh-CN"/>
        </w:rPr>
        <w:t>乳源瑶族自治县统计局</w:t>
      </w:r>
    </w:p>
    <w:p>
      <w:pPr>
        <w:spacing w:line="360" w:lineRule="auto"/>
        <w:ind w:firstLine="4800" w:firstLineChars="15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2024年3月26日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EA1F7"/>
    <w:multiLevelType w:val="singleLevel"/>
    <w:tmpl w:val="BF6EA1F7"/>
    <w:lvl w:ilvl="0" w:tentative="0">
      <w:start w:val="2"/>
      <w:numFmt w:val="chineseCounting"/>
      <w:suff w:val="nothing"/>
      <w:lvlText w:val="（%1）"/>
      <w:lvlJc w:val="left"/>
      <w:rPr>
        <w:rFonts w:hint="eastAsia"/>
      </w:rPr>
    </w:lvl>
  </w:abstractNum>
  <w:abstractNum w:abstractNumId="1">
    <w:nsid w:val="32648439"/>
    <w:multiLevelType w:val="singleLevel"/>
    <w:tmpl w:val="32648439"/>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FiZjhhZjk5OWIyMjVhYjBmNmNiNzI4YThmOTdjM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4DB6D86"/>
    <w:rsid w:val="05493CB6"/>
    <w:rsid w:val="0C70309D"/>
    <w:rsid w:val="0C7358DA"/>
    <w:rsid w:val="106612B1"/>
    <w:rsid w:val="124E65DA"/>
    <w:rsid w:val="13D55E31"/>
    <w:rsid w:val="1A55773F"/>
    <w:rsid w:val="1BEA0FB0"/>
    <w:rsid w:val="21B92FE5"/>
    <w:rsid w:val="245524EA"/>
    <w:rsid w:val="268D7281"/>
    <w:rsid w:val="2A0C3112"/>
    <w:rsid w:val="2A7A5C2D"/>
    <w:rsid w:val="2DC7587C"/>
    <w:rsid w:val="345B6B78"/>
    <w:rsid w:val="34E318B0"/>
    <w:rsid w:val="38DF73CA"/>
    <w:rsid w:val="39921607"/>
    <w:rsid w:val="3B45233D"/>
    <w:rsid w:val="3DCC459A"/>
    <w:rsid w:val="423A110E"/>
    <w:rsid w:val="468762A1"/>
    <w:rsid w:val="49997E25"/>
    <w:rsid w:val="4B3D1240"/>
    <w:rsid w:val="4D0131CC"/>
    <w:rsid w:val="5375086E"/>
    <w:rsid w:val="558D4999"/>
    <w:rsid w:val="5616381A"/>
    <w:rsid w:val="584179F6"/>
    <w:rsid w:val="5FAC49F7"/>
    <w:rsid w:val="60712327"/>
    <w:rsid w:val="608328D0"/>
    <w:rsid w:val="616A43C7"/>
    <w:rsid w:val="626F726B"/>
    <w:rsid w:val="63F25573"/>
    <w:rsid w:val="69A728D8"/>
    <w:rsid w:val="6D620ACE"/>
    <w:rsid w:val="6E3C69E4"/>
    <w:rsid w:val="73093362"/>
    <w:rsid w:val="75605CF6"/>
    <w:rsid w:val="77190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semiHidden/>
    <w:qFormat/>
    <w:uiPriority w:val="99"/>
    <w:rPr>
      <w:rFonts w:ascii="Times New Roman" w:hAnsi="Times New Roman" w:eastAsia="宋体" w:cs="Times New Roman"/>
      <w:sz w:val="18"/>
      <w:szCs w:val="18"/>
    </w:rPr>
  </w:style>
  <w:style w:type="character" w:customStyle="1" w:styleId="8">
    <w:name w:val="页脚 Char"/>
    <w:basedOn w:val="6"/>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1048</Words>
  <Characters>1092</Characters>
  <Lines>1</Lines>
  <Paragraphs>1</Paragraphs>
  <TotalTime>4</TotalTime>
  <ScaleCrop>false</ScaleCrop>
  <LinksUpToDate>false</LinksUpToDate>
  <CharactersWithSpaces>1094</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cp:lastModifiedBy>
  <cp:lastPrinted>2024-03-29T07:29:12Z</cp:lastPrinted>
  <dcterms:modified xsi:type="dcterms:W3CDTF">2024-03-29T07:29:33Z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A3FDDFFD396541DA83EBD072B9F2C264</vt:lpwstr>
  </property>
</Properties>
</file>