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olor w:val="000000"/>
          <w:sz w:val="32"/>
        </w:rPr>
      </w:pPr>
      <w:r>
        <w:rPr>
          <w:rFonts w:hint="eastAsia" w:ascii="黑体" w:hAnsi="黑体" w:eastAsia="黑体"/>
          <w:color w:val="000000"/>
          <w:sz w:val="32"/>
        </w:rPr>
        <w:t>附件</w:t>
      </w:r>
    </w:p>
    <w:p>
      <w:pPr>
        <w:pStyle w:val="8"/>
        <w:rPr>
          <w:rFonts w:hint="eastAsia"/>
        </w:rPr>
      </w:pPr>
    </w:p>
    <w:p>
      <w:pPr>
        <w:jc w:val="center"/>
        <w:rPr>
          <w:rFonts w:hint="eastAsia" w:ascii="宋体" w:hAnsi="宋体"/>
          <w:b/>
          <w:sz w:val="36"/>
          <w:szCs w:val="36"/>
        </w:rPr>
      </w:pPr>
      <w:r>
        <w:rPr>
          <w:rFonts w:hint="eastAsia" w:ascii="宋体" w:hAnsi="宋体"/>
          <w:b/>
          <w:sz w:val="36"/>
          <w:szCs w:val="36"/>
        </w:rPr>
        <w:t>商贸抽样调查财政支出项目绩效自评报告</w:t>
      </w:r>
    </w:p>
    <w:p>
      <w:pPr>
        <w:pStyle w:val="8"/>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（一）项目用款单位简要情况。</w:t>
      </w:r>
    </w:p>
    <w:p>
      <w:pPr>
        <w:spacing w:line="360" w:lineRule="auto"/>
        <w:ind w:firstLine="640" w:firstLineChars="200"/>
        <w:rPr>
          <w:rFonts w:hint="eastAsia" w:ascii="仿宋_GB2312" w:hAnsi="Times New Roman" w:eastAsia="仿宋_GB2312" w:cs="Times New Roman"/>
          <w:color w:val="auto"/>
          <w:sz w:val="32"/>
          <w:szCs w:val="32"/>
        </w:rPr>
      </w:pPr>
      <w:r>
        <w:rPr>
          <w:rFonts w:hint="default" w:ascii="仿宋_GB2312" w:eastAsia="仿宋_GB2312"/>
          <w:color w:val="auto"/>
          <w:sz w:val="32"/>
          <w:szCs w:val="32"/>
        </w:rPr>
        <w:t>乳源瑶族自治县统计局</w:t>
      </w:r>
      <w:r>
        <w:rPr>
          <w:rFonts w:hint="eastAsia" w:ascii="仿宋_GB2312" w:eastAsia="仿宋_GB2312"/>
          <w:color w:val="auto"/>
          <w:sz w:val="32"/>
          <w:szCs w:val="32"/>
          <w:lang w:eastAsia="zh-CN"/>
        </w:rPr>
        <w:t>是正科级行政单位，包括</w:t>
      </w:r>
      <w:r>
        <w:rPr>
          <w:rFonts w:hint="eastAsia" w:ascii="仿宋_GB2312" w:eastAsia="仿宋_GB2312"/>
          <w:color w:val="auto"/>
          <w:sz w:val="32"/>
          <w:szCs w:val="32"/>
          <w:lang w:val="en-US" w:eastAsia="zh-CN"/>
        </w:rPr>
        <w:t>1个下属单位乳源瑶族自治县普查中心（非独立核算单位）</w:t>
      </w:r>
      <w:r>
        <w:rPr>
          <w:rFonts w:hint="eastAsia" w:ascii="仿宋_GB2312" w:eastAsia="仿宋_GB2312"/>
          <w:color w:val="auto"/>
          <w:sz w:val="32"/>
          <w:szCs w:val="32"/>
          <w:lang w:eastAsia="zh-CN"/>
        </w:rPr>
        <w:t>，</w:t>
      </w:r>
      <w:r>
        <w:rPr>
          <w:rFonts w:hint="eastAsia" w:ascii="仿宋_GB2312" w:hAnsi="Times New Roman" w:eastAsia="仿宋_GB2312" w:cs="Times New Roman"/>
          <w:color w:val="auto"/>
          <w:sz w:val="32"/>
          <w:szCs w:val="32"/>
          <w:lang w:eastAsia="zh-CN"/>
        </w:rPr>
        <w:t>其</w:t>
      </w:r>
      <w:r>
        <w:rPr>
          <w:rFonts w:hint="eastAsia" w:ascii="仿宋_GB2312" w:hAnsi="Times New Roman" w:eastAsia="仿宋_GB2312" w:cs="Times New Roman"/>
          <w:color w:val="auto"/>
          <w:sz w:val="32"/>
          <w:szCs w:val="32"/>
        </w:rPr>
        <w:t>主要职责</w:t>
      </w:r>
      <w:bookmarkStart w:id="0" w:name="PO_part1Responsibilities"/>
      <w:r>
        <w:rPr>
          <w:rFonts w:hint="eastAsia" w:ascii="仿宋_GB2312" w:hAnsi="Times New Roman" w:eastAsia="仿宋_GB2312" w:cs="Times New Roman"/>
          <w:color w:val="auto"/>
          <w:sz w:val="32"/>
          <w:szCs w:val="32"/>
          <w:lang w:eastAsia="zh-CN"/>
        </w:rPr>
        <w:t>：贯彻执行国家和省、市有关统计工作的方针政策、法律法规和方法</w:t>
      </w:r>
      <w:r>
        <w:rPr>
          <w:rFonts w:hint="eastAsia" w:ascii="仿宋_GB2312" w:hAnsi="Times New Roman" w:eastAsia="仿宋_GB2312" w:cs="Times New Roman"/>
          <w:color w:val="auto"/>
          <w:sz w:val="32"/>
          <w:szCs w:val="32"/>
        </w:rPr>
        <w:t>制度</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rPr>
        <w:t>组织实施全县国民经济核算制度和投入产出调查</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rPr>
        <w:t>组织实施农林牧渔业、工业、建筑业、批发和零售业、住宿和餐饮业、房地产业、城乡居民收入</w:t>
      </w:r>
      <w:r>
        <w:rPr>
          <w:rFonts w:hint="eastAsia" w:ascii="仿宋_GB2312" w:hAnsi="Times New Roman" w:eastAsia="仿宋_GB2312" w:cs="Times New Roman"/>
          <w:color w:val="auto"/>
          <w:sz w:val="32"/>
          <w:szCs w:val="32"/>
          <w:lang w:eastAsia="zh-CN"/>
        </w:rPr>
        <w:t>、能源、投资、</w:t>
      </w:r>
      <w:r>
        <w:rPr>
          <w:rFonts w:hint="eastAsia" w:ascii="仿宋_GB2312" w:hAnsi="Times New Roman" w:eastAsia="仿宋_GB2312" w:cs="Times New Roman"/>
          <w:color w:val="auto"/>
          <w:sz w:val="32"/>
          <w:szCs w:val="32"/>
        </w:rPr>
        <w:t>科技、人口、劳动力、社会发展基本情况等统计调查</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依法备案各镇、各部门统计调查项目</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建立并管理全县统计信息化系统和统计数据库系统</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 xml:space="preserve">完成县委、县政府和市统计局交办的其他任务。  </w:t>
      </w:r>
      <w:bookmarkEnd w:id="0"/>
    </w:p>
    <w:p>
      <w:pPr>
        <w:numPr>
          <w:ilvl w:val="0"/>
          <w:numId w:val="1"/>
        </w:num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1、</w:t>
      </w:r>
      <w:r>
        <w:rPr>
          <w:rFonts w:hint="default" w:ascii="仿宋_GB2312" w:hAnsi="å®‹ä½“" w:eastAsia="仿宋_GB2312" w:cs="仿宋_GB2312"/>
          <w:i w:val="0"/>
          <w:caps w:val="0"/>
          <w:color w:val="auto"/>
          <w:spacing w:val="0"/>
          <w:kern w:val="0"/>
          <w:sz w:val="32"/>
          <w:szCs w:val="32"/>
          <w:lang w:val="en-US" w:eastAsia="zh-CN" w:bidi="ar"/>
        </w:rPr>
        <w:t>合理编制绩效目标。结合年度绩效考评方案和年度工作计划，召集相关业务</w:t>
      </w:r>
      <w:r>
        <w:rPr>
          <w:rFonts w:hint="eastAsia" w:ascii="仿宋_GB2312" w:hAnsi="å®‹ä½“" w:eastAsia="仿宋_GB2312" w:cs="仿宋_GB2312"/>
          <w:i w:val="0"/>
          <w:caps w:val="0"/>
          <w:color w:val="auto"/>
          <w:spacing w:val="0"/>
          <w:kern w:val="0"/>
          <w:sz w:val="32"/>
          <w:szCs w:val="32"/>
          <w:lang w:val="en-US" w:eastAsia="zh-CN" w:bidi="ar"/>
        </w:rPr>
        <w:t>股</w:t>
      </w:r>
      <w:r>
        <w:rPr>
          <w:rFonts w:hint="default" w:ascii="仿宋_GB2312" w:hAnsi="å®‹ä½“" w:eastAsia="仿宋_GB2312" w:cs="仿宋_GB2312"/>
          <w:i w:val="0"/>
          <w:caps w:val="0"/>
          <w:color w:val="auto"/>
          <w:spacing w:val="0"/>
          <w:kern w:val="0"/>
          <w:sz w:val="32"/>
          <w:szCs w:val="32"/>
          <w:lang w:val="en-US" w:eastAsia="zh-CN" w:bidi="ar"/>
        </w:rPr>
        <w:t>室负责人进行探讨、研究、论证，参考以前年度的相关数据，制定了符合实际、可考评的年度目标。资金覆盖率和项目覆盖率符合年度预算布置要求。</w:t>
      </w:r>
    </w:p>
    <w:p>
      <w:pPr>
        <w:spacing w:line="360" w:lineRule="auto"/>
        <w:ind w:firstLine="640" w:firstLineChars="200"/>
        <w:rPr>
          <w:rFonts w:ascii="仿宋_GB2312" w:eastAsia="仿宋_GB2312"/>
          <w:color w:val="auto"/>
          <w:sz w:val="32"/>
          <w:szCs w:val="32"/>
        </w:rPr>
      </w:pPr>
      <w:r>
        <w:rPr>
          <w:rFonts w:hint="eastAsia" w:ascii="仿宋_GB2312" w:hAnsi="å®‹ä½“" w:eastAsia="仿宋_GB2312" w:cs="仿宋_GB2312"/>
          <w:i w:val="0"/>
          <w:caps w:val="0"/>
          <w:color w:val="auto"/>
          <w:spacing w:val="0"/>
          <w:kern w:val="0"/>
          <w:sz w:val="32"/>
          <w:szCs w:val="32"/>
          <w:lang w:val="en-US" w:eastAsia="zh-CN" w:bidi="ar"/>
        </w:rPr>
        <w:t>2、</w:t>
      </w:r>
      <w:r>
        <w:rPr>
          <w:rFonts w:hint="default" w:ascii="仿宋_GB2312" w:hAnsi="å®‹ä½“" w:eastAsia="仿宋_GB2312" w:cs="仿宋_GB2312"/>
          <w:i w:val="0"/>
          <w:caps w:val="0"/>
          <w:color w:val="auto"/>
          <w:spacing w:val="0"/>
          <w:kern w:val="0"/>
          <w:sz w:val="32"/>
          <w:szCs w:val="32"/>
          <w:lang w:val="en-US" w:eastAsia="zh-CN" w:bidi="ar"/>
        </w:rPr>
        <w:t>开展绩效动态监控。按季度开展项目支出绩效监控工作，及时收集汇总季度目标完成情况，发现严重偏差，及时反馈，采取有效措施，重点跟踪，及时纠偏，阶段性任务能够按计划完成，全年性任务基本能够按序时进度执行，保证了年度目标任务的完成。</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（三）</w:t>
      </w:r>
      <w:r>
        <w:rPr>
          <w:rFonts w:hint="eastAsia" w:ascii="仿宋_GB2312" w:eastAsia="仿宋_GB2312"/>
          <w:color w:val="auto"/>
          <w:sz w:val="32"/>
          <w:szCs w:val="32"/>
          <w:lang w:val="en-US" w:eastAsia="zh-CN"/>
        </w:rPr>
        <w:t>综</w:t>
      </w:r>
      <w:r>
        <w:rPr>
          <w:rFonts w:hint="eastAsia" w:ascii="仿宋_GB2312" w:eastAsia="仿宋_GB2312"/>
          <w:color w:val="auto"/>
          <w:sz w:val="32"/>
          <w:szCs w:val="32"/>
        </w:rPr>
        <w:t>述项目自评等级和分数，并对照佐证材料逐一分析。</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项目自评等级是：优，项目自评分数是：93分。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投入方面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佐证材料：“四下”单位抽样调查统计报表制度、《关于批复2023年部门预算的通知》等。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分析：根据提供的佐证材料，商贸抽样调查预算资金已足额下达。限下商贸抽样调查有一套完善的统计报表制度，调查目的：反映规模（限额）以下企业、产业活动单位和个体经营户的基本情况、生产经营状况；填报范围：辖区内抽中的限额以下批发和零售业法人企业、个体经营户；限额以下住宿和餐饮业法人企业、个体经营户；非批发和零售业法人单位附营的限额以下批发和零售业产业活动单位、非住宿和餐饮业法人单位附营的限额以下住宿和餐饮业产业活动单位。</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过程方面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佐证材料：资金明细表、支付凭证、商贸抽样调查额度到账通知书等。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分析：根据提供的佐证材料，项目资金严格按照预算进行使用，无违规现象。各项支出均有明确的账目记录，确保了资金的透明使用。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0" w:firstLineChars="200"/>
        <w:textAlignment w:val="auto"/>
        <w:rPr>
          <w:rFonts w:hint="default"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产出方面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佐证材料：“四下”单位抽样调查统计报表制度、乳源县2023年第三季度限下抽样调查活情况分析。</w:t>
      </w:r>
      <w:bookmarkStart w:id="1" w:name="_GoBack"/>
      <w:bookmarkEnd w:id="1"/>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pPr>
      <w:r>
        <w:rPr>
          <w:rFonts w:hint="eastAsia" w:ascii="仿宋_GB2312" w:hAnsi="å®‹ä½“" w:eastAsia="仿宋_GB2312" w:cs="仿宋_GB2312"/>
          <w:i w:val="0"/>
          <w:caps w:val="0"/>
          <w:color w:val="auto"/>
          <w:spacing w:val="0"/>
          <w:kern w:val="0"/>
          <w:sz w:val="32"/>
          <w:szCs w:val="32"/>
          <w:lang w:val="en-US" w:eastAsia="zh-CN" w:bidi="ar"/>
        </w:rPr>
        <w:t>分析：在数据质量方面，我们建立了严格的数据审核和校验机制，确保数据的真实性和完整性。在数据分析方面，我们采用了多种统计方法和工具，对调查数据进行了深入的分析和解读，为政府提供了有价值的参考信息。“四下”单位抽样调查统计报表制度在提供及时、准确的统计信息方面发挥了重要作用。“四下”单位抽样调查统计报表制度是我国经济统计体系中的重要组成部分，它通过对特定范围的单位进行抽样调查，收集并整理数据，旨在提供准确、及时的统计信息，为政府决策提供有力支持。</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二、绩效表现</w:t>
      </w:r>
    </w:p>
    <w:p>
      <w:pPr>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rPr>
        <w:t>（一）资金使用绩效。</w:t>
      </w:r>
    </w:p>
    <w:p>
      <w:pPr>
        <w:keepNext w:val="0"/>
        <w:keepLines w:val="0"/>
        <w:pageBreakBefore w:val="0"/>
        <w:kinsoku/>
        <w:overflowPunct/>
        <w:topLinePunct w:val="0"/>
        <w:bidi w:val="0"/>
        <w:snapToGrid/>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eastAsia"/>
          <w:color w:val="auto"/>
        </w:rPr>
      </w:pPr>
      <w:r>
        <w:rPr>
          <w:rFonts w:hint="default" w:ascii="仿宋_GB2312" w:hAnsi="å®‹ä½“" w:eastAsia="仿宋_GB2312" w:cs="仿宋_GB2312"/>
          <w:i w:val="0"/>
          <w:caps w:val="0"/>
          <w:color w:val="auto"/>
          <w:spacing w:val="0"/>
          <w:kern w:val="0"/>
          <w:sz w:val="32"/>
          <w:szCs w:val="32"/>
          <w:lang w:val="en-US" w:eastAsia="zh-CN" w:bidi="ar"/>
        </w:rPr>
        <w:t>商贸抽样调查专项项目2</w:t>
      </w:r>
      <w:r>
        <w:rPr>
          <w:rFonts w:hint="eastAsia" w:ascii="仿宋_GB2312" w:hAnsi="å®‹ä½“" w:eastAsia="仿宋_GB2312" w:cs="仿宋_GB2312"/>
          <w:i w:val="0"/>
          <w:caps w:val="0"/>
          <w:color w:val="auto"/>
          <w:spacing w:val="0"/>
          <w:kern w:val="0"/>
          <w:sz w:val="32"/>
          <w:szCs w:val="32"/>
          <w:lang w:val="en-US" w:eastAsia="zh-CN" w:bidi="ar"/>
        </w:rPr>
        <w:t>023</w:t>
      </w:r>
      <w:r>
        <w:rPr>
          <w:rFonts w:hint="default" w:ascii="仿宋_GB2312" w:hAnsi="å®‹ä½“" w:eastAsia="仿宋_GB2312" w:cs="仿宋_GB2312"/>
          <w:i w:val="0"/>
          <w:caps w:val="0"/>
          <w:color w:val="auto"/>
          <w:spacing w:val="0"/>
          <w:kern w:val="0"/>
          <w:sz w:val="32"/>
          <w:szCs w:val="32"/>
          <w:lang w:val="en-US" w:eastAsia="zh-CN" w:bidi="ar"/>
        </w:rPr>
        <w:t>年总投入为</w:t>
      </w:r>
      <w:r>
        <w:rPr>
          <w:rFonts w:hint="eastAsia" w:ascii="仿宋_GB2312" w:hAnsi="å®‹ä½“" w:eastAsia="仿宋_GB2312" w:cs="仿宋_GB2312"/>
          <w:i w:val="0"/>
          <w:caps w:val="0"/>
          <w:color w:val="auto"/>
          <w:spacing w:val="0"/>
          <w:kern w:val="0"/>
          <w:sz w:val="32"/>
          <w:szCs w:val="32"/>
          <w:lang w:val="en-US" w:eastAsia="zh-CN" w:bidi="ar"/>
        </w:rPr>
        <w:t>2.8</w:t>
      </w:r>
      <w:r>
        <w:rPr>
          <w:rFonts w:hint="default" w:ascii="仿宋_GB2312" w:hAnsi="å®‹ä½“" w:eastAsia="仿宋_GB2312" w:cs="仿宋_GB2312"/>
          <w:i w:val="0"/>
          <w:caps w:val="0"/>
          <w:color w:val="auto"/>
          <w:spacing w:val="0"/>
          <w:kern w:val="0"/>
          <w:sz w:val="32"/>
          <w:szCs w:val="32"/>
          <w:lang w:val="en-US" w:eastAsia="zh-CN" w:bidi="ar"/>
        </w:rPr>
        <w:t>万元</w:t>
      </w:r>
      <w:r>
        <w:rPr>
          <w:rFonts w:hint="eastAsia" w:ascii="仿宋_GB2312" w:hAnsi="å®‹ä½“" w:eastAsia="仿宋_GB2312" w:cs="仿宋_GB2312"/>
          <w:i w:val="0"/>
          <w:caps w:val="0"/>
          <w:color w:val="auto"/>
          <w:spacing w:val="0"/>
          <w:kern w:val="0"/>
          <w:sz w:val="32"/>
          <w:szCs w:val="32"/>
          <w:lang w:val="en-US" w:eastAsia="zh-CN" w:bidi="ar"/>
        </w:rPr>
        <w:t>。据乳财[2023]4号</w:t>
      </w:r>
      <w:r>
        <w:rPr>
          <w:rFonts w:hint="default" w:ascii="仿宋_GB2312" w:hAnsi="å®‹ä½“" w:eastAsia="仿宋_GB2312" w:cs="仿宋_GB2312"/>
          <w:i w:val="0"/>
          <w:caps w:val="0"/>
          <w:color w:val="auto"/>
          <w:spacing w:val="0"/>
          <w:kern w:val="0"/>
          <w:sz w:val="32"/>
          <w:szCs w:val="32"/>
          <w:lang w:val="en-US" w:eastAsia="zh-CN" w:bidi="ar"/>
        </w:rPr>
        <w:t>下拨项目资金累计</w:t>
      </w:r>
      <w:r>
        <w:rPr>
          <w:rFonts w:hint="eastAsia" w:ascii="仿宋_GB2312" w:hAnsi="å®‹ä½“" w:eastAsia="仿宋_GB2312" w:cs="仿宋_GB2312"/>
          <w:i w:val="0"/>
          <w:caps w:val="0"/>
          <w:color w:val="auto"/>
          <w:spacing w:val="0"/>
          <w:kern w:val="0"/>
          <w:sz w:val="32"/>
          <w:szCs w:val="32"/>
          <w:lang w:val="en-US" w:eastAsia="zh-CN" w:bidi="ar"/>
        </w:rPr>
        <w:t>2.8</w:t>
      </w:r>
      <w:r>
        <w:rPr>
          <w:rFonts w:hint="default" w:ascii="仿宋_GB2312" w:hAnsi="å®‹ä½“" w:eastAsia="仿宋_GB2312" w:cs="仿宋_GB2312"/>
          <w:i w:val="0"/>
          <w:caps w:val="0"/>
          <w:color w:val="auto"/>
          <w:spacing w:val="0"/>
          <w:kern w:val="0"/>
          <w:sz w:val="32"/>
          <w:szCs w:val="32"/>
          <w:lang w:val="en-US" w:eastAsia="zh-CN" w:bidi="ar"/>
        </w:rPr>
        <w:t>万元全部到位，资金到位率100%。</w:t>
      </w:r>
    </w:p>
    <w:p>
      <w:pPr>
        <w:keepNext w:val="0"/>
        <w:keepLines w:val="0"/>
        <w:pageBreakBefore w:val="0"/>
        <w:kinsoku/>
        <w:overflowPunct/>
        <w:topLinePunct w:val="0"/>
        <w:bidi w:val="0"/>
        <w:snapToGrid/>
        <w:spacing w:line="360" w:lineRule="auto"/>
        <w:ind w:firstLine="640" w:firstLineChars="200"/>
        <w:rPr>
          <w:rFonts w:hint="eastAsia"/>
          <w:color w:val="auto"/>
        </w:rPr>
      </w:pPr>
      <w:r>
        <w:rPr>
          <w:rFonts w:hint="eastAsia" w:ascii="仿宋_GB2312" w:hAnsi="仿宋_GB2312" w:eastAsia="仿宋_GB2312"/>
          <w:color w:val="auto"/>
          <w:sz w:val="32"/>
          <w:szCs w:val="32"/>
          <w:lang w:val="en-US" w:eastAsia="zh-CN"/>
        </w:rPr>
        <w:t>2、</w:t>
      </w:r>
      <w:r>
        <w:rPr>
          <w:rFonts w:hint="eastAsia" w:ascii="仿宋_GB2312" w:hAnsi="仿宋_GB2312" w:eastAsia="仿宋_GB2312"/>
          <w:color w:val="auto"/>
          <w:sz w:val="32"/>
          <w:szCs w:val="32"/>
        </w:rPr>
        <w:t>项目资金实际支出情况，具体详细说明。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2023年商贸抽样调查</w:t>
      </w:r>
      <w:r>
        <w:rPr>
          <w:rFonts w:hint="default" w:ascii="仿宋_GB2312" w:hAnsi="å®‹ä½“" w:eastAsia="仿宋_GB2312" w:cs="仿宋_GB2312"/>
          <w:i w:val="0"/>
          <w:caps w:val="0"/>
          <w:color w:val="auto"/>
          <w:spacing w:val="0"/>
          <w:kern w:val="0"/>
          <w:sz w:val="32"/>
          <w:szCs w:val="32"/>
          <w:lang w:val="en-US" w:eastAsia="zh-CN" w:bidi="ar"/>
        </w:rPr>
        <w:t>实际支出</w:t>
      </w:r>
      <w:r>
        <w:rPr>
          <w:rFonts w:hint="eastAsia" w:ascii="仿宋_GB2312" w:hAnsi="å®‹ä½“" w:eastAsia="仿宋_GB2312" w:cs="仿宋_GB2312"/>
          <w:i w:val="0"/>
          <w:caps w:val="0"/>
          <w:color w:val="auto"/>
          <w:spacing w:val="0"/>
          <w:kern w:val="0"/>
          <w:sz w:val="32"/>
          <w:szCs w:val="32"/>
          <w:lang w:val="en-US" w:eastAsia="zh-CN" w:bidi="ar"/>
        </w:rPr>
        <w:t>2.8</w:t>
      </w:r>
      <w:r>
        <w:rPr>
          <w:rFonts w:hint="default" w:ascii="仿宋_GB2312" w:hAnsi="å®‹ä½“" w:eastAsia="仿宋_GB2312" w:cs="仿宋_GB2312"/>
          <w:i w:val="0"/>
          <w:caps w:val="0"/>
          <w:color w:val="auto"/>
          <w:spacing w:val="0"/>
          <w:kern w:val="0"/>
          <w:sz w:val="32"/>
          <w:szCs w:val="32"/>
          <w:lang w:val="en-US" w:eastAsia="zh-CN" w:bidi="ar"/>
        </w:rPr>
        <w:t>万元，资金使用率</w:t>
      </w:r>
      <w:r>
        <w:rPr>
          <w:rFonts w:hint="eastAsia" w:ascii="仿宋_GB2312" w:hAnsi="å®‹ä½“" w:eastAsia="仿宋_GB2312" w:cs="仿宋_GB2312"/>
          <w:i w:val="0"/>
          <w:caps w:val="0"/>
          <w:color w:val="auto"/>
          <w:spacing w:val="0"/>
          <w:kern w:val="0"/>
          <w:sz w:val="32"/>
          <w:szCs w:val="32"/>
          <w:lang w:val="en-US" w:eastAsia="zh-CN" w:bidi="ar"/>
        </w:rPr>
        <w:t>100</w:t>
      </w:r>
      <w:r>
        <w:rPr>
          <w:rFonts w:hint="default" w:ascii="仿宋_GB2312" w:hAnsi="å®‹ä½“" w:eastAsia="仿宋_GB2312" w:cs="仿宋_GB2312"/>
          <w:i w:val="0"/>
          <w:caps w:val="0"/>
          <w:color w:val="auto"/>
          <w:spacing w:val="0"/>
          <w:kern w:val="0"/>
          <w:sz w:val="32"/>
          <w:szCs w:val="32"/>
          <w:lang w:val="en-US" w:eastAsia="zh-CN" w:bidi="ar"/>
        </w:rPr>
        <w:t>%</w:t>
      </w:r>
      <w:r>
        <w:rPr>
          <w:rFonts w:hint="eastAsia" w:ascii="仿宋_GB2312" w:hAnsi="å®‹ä½“" w:eastAsia="仿宋_GB2312" w:cs="仿宋_GB2312"/>
          <w:i w:val="0"/>
          <w:caps w:val="0"/>
          <w:color w:val="auto"/>
          <w:spacing w:val="0"/>
          <w:kern w:val="0"/>
          <w:sz w:val="32"/>
          <w:szCs w:val="32"/>
          <w:lang w:val="en-US" w:eastAsia="zh-CN" w:bidi="ar"/>
        </w:rPr>
        <w:t>。用于发放限下商贸调查员补贴2.8万元。</w:t>
      </w:r>
    </w:p>
    <w:p>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项目的绩效目标完成情况（经济、政治和社会效益）。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每季度对28家样本展开调查，其中22家个体户采用入户调查的方式，6家样本直报单位采用企业自主联网直报的方式进行报数，为国家分析研判限额以下商贸单位经营状况，制定推动高质量发展经济政策及我县GDP核算提供了依据。按时发放商贸抽样调查补贴。</w:t>
      </w:r>
    </w:p>
    <w:p>
      <w:pPr>
        <w:numPr>
          <w:ilvl w:val="0"/>
          <w:numId w:val="4"/>
        </w:numPr>
        <w:spacing w:line="360" w:lineRule="auto"/>
        <w:ind w:left="0" w:leftChars="0" w:firstLine="640" w:firstLineChars="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项目资金使用效益，对环境、经济、社会的可持续影响。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both"/>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批发零售业和住宿餐饮业是国民经济的重要组成部分，搞准相关数据对“扩大内需”的政策实施效果的评价具有积极的意义。通过调查获取推算季度限额以下批发零售住宿餐饮行业商品销售额(营业额)以及社会消费品零售总额限额以下部分的基础数据。通过对抽取的样本单位开展经营情况调查，用于对限额以下单位经营状况进行分析和预判。为国家分析研判限额以下商贸单位经营状况，制定推动高质量发展经济政策及我县GDP核算提供了依据。</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（二）存在问题。</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s="Times New Roman"/>
          <w:color w:val="auto"/>
          <w:sz w:val="32"/>
          <w:szCs w:val="32"/>
          <w:lang w:val="en-US" w:eastAsia="zh-CN"/>
        </w:rPr>
        <w:t>无</w:t>
      </w:r>
      <w:r>
        <w:rPr>
          <w:rFonts w:hint="eastAsia" w:ascii="仿宋_GB2312" w:hAnsi="Times New Roman" w:eastAsia="仿宋_GB2312" w:cs="Times New Roman"/>
          <w:color w:val="auto"/>
          <w:sz w:val="32"/>
          <w:szCs w:val="32"/>
          <w:lang w:val="en-US" w:eastAsia="zh-CN"/>
        </w:rPr>
        <w:t>。</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三、改进意见</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无</w:t>
      </w:r>
      <w:r>
        <w:rPr>
          <w:rFonts w:hint="eastAsia" w:ascii="仿宋_GB2312" w:eastAsia="仿宋_GB2312"/>
          <w:color w:val="auto"/>
          <w:sz w:val="32"/>
          <w:szCs w:val="32"/>
        </w:rPr>
        <w:t>。</w:t>
      </w:r>
    </w:p>
    <w:p>
      <w:pPr>
        <w:spacing w:line="360" w:lineRule="auto"/>
        <w:ind w:firstLine="640" w:firstLineChars="200"/>
        <w:rPr>
          <w:rFonts w:hint="eastAsia" w:ascii="仿宋_GB2312" w:eastAsia="仿宋_GB2312"/>
          <w:color w:val="auto"/>
          <w:sz w:val="32"/>
          <w:szCs w:val="32"/>
          <w:lang w:val="en-US" w:eastAsia="zh-CN"/>
        </w:rPr>
      </w:pPr>
    </w:p>
    <w:p>
      <w:pPr>
        <w:spacing w:line="360" w:lineRule="auto"/>
        <w:ind w:firstLine="640" w:firstLineChars="200"/>
        <w:rPr>
          <w:rFonts w:hint="eastAsia" w:ascii="仿宋_GB2312" w:eastAsia="仿宋_GB2312"/>
          <w:color w:val="auto"/>
          <w:sz w:val="32"/>
          <w:szCs w:val="32"/>
          <w:lang w:val="en-US" w:eastAsia="zh-CN"/>
        </w:rPr>
      </w:pPr>
    </w:p>
    <w:p>
      <w:pPr>
        <w:spacing w:line="360" w:lineRule="auto"/>
        <w:ind w:firstLine="4480" w:firstLineChars="14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乳源瑶族自治县统计局</w:t>
      </w:r>
    </w:p>
    <w:p>
      <w:pPr>
        <w:spacing w:line="360" w:lineRule="auto"/>
        <w:ind w:firstLine="4800" w:firstLineChars="15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2024年3月26日</w:t>
      </w:r>
    </w:p>
    <w:p>
      <w:pPr>
        <w:pStyle w:val="8"/>
        <w:rPr>
          <w:rFonts w:hint="eastAsia"/>
          <w:color w:val="auto"/>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å®‹ä½“">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3B17D"/>
    <w:multiLevelType w:val="singleLevel"/>
    <w:tmpl w:val="9113B17D"/>
    <w:lvl w:ilvl="0" w:tentative="0">
      <w:start w:val="2"/>
      <w:numFmt w:val="chineseCounting"/>
      <w:suff w:val="nothing"/>
      <w:lvlText w:val="（%1）"/>
      <w:lvlJc w:val="left"/>
      <w:rPr>
        <w:rFonts w:hint="eastAsia"/>
      </w:rPr>
    </w:lvl>
  </w:abstractNum>
  <w:abstractNum w:abstractNumId="1">
    <w:nsid w:val="0EFB219B"/>
    <w:multiLevelType w:val="singleLevel"/>
    <w:tmpl w:val="0EFB219B"/>
    <w:lvl w:ilvl="0" w:tentative="0">
      <w:start w:val="2"/>
      <w:numFmt w:val="decimal"/>
      <w:suff w:val="nothing"/>
      <w:lvlText w:val="%1、"/>
      <w:lvlJc w:val="left"/>
    </w:lvl>
  </w:abstractNum>
  <w:abstractNum w:abstractNumId="2">
    <w:nsid w:val="28A5C18E"/>
    <w:multiLevelType w:val="singleLevel"/>
    <w:tmpl w:val="28A5C18E"/>
    <w:lvl w:ilvl="0" w:tentative="0">
      <w:start w:val="3"/>
      <w:numFmt w:val="decimal"/>
      <w:suff w:val="nothing"/>
      <w:lvlText w:val="%1、"/>
      <w:lvlJc w:val="left"/>
    </w:lvl>
  </w:abstractNum>
  <w:abstractNum w:abstractNumId="3">
    <w:nsid w:val="4E7FA7E8"/>
    <w:multiLevelType w:val="singleLevel"/>
    <w:tmpl w:val="4E7FA7E8"/>
    <w:lvl w:ilvl="0" w:tentative="0">
      <w:start w:val="1"/>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iZjhhZjk5OWIyMjVhYjBmNmNiNzI4YThmOTdjMT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24E06A7"/>
    <w:rsid w:val="03793ED9"/>
    <w:rsid w:val="049C3128"/>
    <w:rsid w:val="07AB4346"/>
    <w:rsid w:val="09981FDC"/>
    <w:rsid w:val="163A6938"/>
    <w:rsid w:val="172C3F6C"/>
    <w:rsid w:val="17AA60A2"/>
    <w:rsid w:val="17BF7030"/>
    <w:rsid w:val="18CB5D66"/>
    <w:rsid w:val="1B3426D8"/>
    <w:rsid w:val="1BEA0FB0"/>
    <w:rsid w:val="1CDF7941"/>
    <w:rsid w:val="1E1F2519"/>
    <w:rsid w:val="1FE04570"/>
    <w:rsid w:val="20F82B4D"/>
    <w:rsid w:val="21610D60"/>
    <w:rsid w:val="22470E9D"/>
    <w:rsid w:val="2A0C3112"/>
    <w:rsid w:val="2AB06828"/>
    <w:rsid w:val="306F3EAF"/>
    <w:rsid w:val="31270B8F"/>
    <w:rsid w:val="396169C9"/>
    <w:rsid w:val="39921607"/>
    <w:rsid w:val="3A2636DC"/>
    <w:rsid w:val="3FE64637"/>
    <w:rsid w:val="40EF4888"/>
    <w:rsid w:val="444906F3"/>
    <w:rsid w:val="4581704E"/>
    <w:rsid w:val="468762A1"/>
    <w:rsid w:val="475954D5"/>
    <w:rsid w:val="4C392F77"/>
    <w:rsid w:val="52625E45"/>
    <w:rsid w:val="5375086E"/>
    <w:rsid w:val="5530493B"/>
    <w:rsid w:val="59771342"/>
    <w:rsid w:val="62B86D17"/>
    <w:rsid w:val="62E23D94"/>
    <w:rsid w:val="674A3954"/>
    <w:rsid w:val="688673B9"/>
    <w:rsid w:val="691D5B26"/>
    <w:rsid w:val="6D80792C"/>
    <w:rsid w:val="6F2251DB"/>
    <w:rsid w:val="70E84B92"/>
    <w:rsid w:val="724277C0"/>
    <w:rsid w:val="74FD0501"/>
    <w:rsid w:val="76193FBE"/>
    <w:rsid w:val="79C96E0B"/>
    <w:rsid w:val="79D20267"/>
    <w:rsid w:val="7C4B7EFC"/>
    <w:rsid w:val="7F5D5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semiHidden/>
    <w:qFormat/>
    <w:uiPriority w:val="0"/>
    <w:pPr>
      <w:spacing w:after="120"/>
      <w:ind w:left="420" w:leftChars="200"/>
    </w:pPr>
  </w:style>
  <w:style w:type="paragraph" w:styleId="3">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2"/>
    <w:basedOn w:val="2"/>
    <w:next w:val="1"/>
    <w:autoRedefine/>
    <w:qFormat/>
    <w:uiPriority w:val="0"/>
    <w:pPr>
      <w:widowControl w:val="0"/>
      <w:spacing w:after="120" w:afterLines="0"/>
      <w:ind w:left="200" w:leftChars="200" w:firstLine="200" w:firstLineChars="200"/>
      <w:jc w:val="both"/>
    </w:pPr>
    <w:rPr>
      <w:rFonts w:ascii="Calibri" w:hAnsi="Calibri"/>
      <w:kern w:val="2"/>
      <w:sz w:val="21"/>
      <w:szCs w:val="24"/>
      <w:lang w:val="en-US" w:eastAsia="zh-CN" w:bidi="ar-SA"/>
    </w:rPr>
  </w:style>
  <w:style w:type="paragraph" w:customStyle="1" w:styleId="8">
    <w:name w:val="链接"/>
    <w:autoRedefine/>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character" w:customStyle="1" w:styleId="9">
    <w:name w:val="页眉 Char"/>
    <w:basedOn w:val="7"/>
    <w:link w:val="4"/>
    <w:autoRedefine/>
    <w:semiHidden/>
    <w:qFormat/>
    <w:uiPriority w:val="99"/>
    <w:rPr>
      <w:rFonts w:ascii="Times New Roman" w:hAnsi="Times New Roman" w:eastAsia="宋体" w:cs="Times New Roman"/>
      <w:sz w:val="18"/>
      <w:szCs w:val="18"/>
    </w:rPr>
  </w:style>
  <w:style w:type="character" w:customStyle="1" w:styleId="10">
    <w:name w:val="页脚 Char"/>
    <w:basedOn w:val="7"/>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1102</Words>
  <Characters>1143</Characters>
  <Lines>1</Lines>
  <Paragraphs>1</Paragraphs>
  <TotalTime>0</TotalTime>
  <ScaleCrop>false</ScaleCrop>
  <LinksUpToDate>false</LinksUpToDate>
  <CharactersWithSpaces>1145</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cp:lastModifiedBy>
  <cp:lastPrinted>2022-04-20T07:00:00Z</cp:lastPrinted>
  <dcterms:modified xsi:type="dcterms:W3CDTF">2024-03-27T09:07:01Z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FA2391FD40F54EECAD20F1CF3192BBFD_13</vt:lpwstr>
  </property>
  <property fmtid="{D5CDD505-2E9C-101B-9397-08002B2CF9AE}" pid="4" name="commondata">
    <vt:lpwstr>eyJoZGlkIjoiNzFiZjhhZjk5OWIyMjVhYjBmNmNiNzI4YThmOTdjMTQifQ==</vt:lpwstr>
  </property>
</Properties>
</file>