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rPr>
      </w:pPr>
      <w:r>
        <w:rPr>
          <w:rFonts w:hint="eastAsia" w:ascii="黑体" w:hAnsi="黑体" w:eastAsia="黑体"/>
          <w:color w:val="auto"/>
          <w:sz w:val="32"/>
        </w:rPr>
        <w:t>附件</w:t>
      </w:r>
    </w:p>
    <w:p>
      <w:pPr>
        <w:jc w:val="center"/>
        <w:rPr>
          <w:rFonts w:hint="eastAsia" w:ascii="宋体" w:hAnsi="宋体"/>
          <w:b/>
          <w:color w:val="auto"/>
          <w:sz w:val="36"/>
          <w:szCs w:val="36"/>
          <w:lang w:eastAsia="zh-CN"/>
        </w:rPr>
      </w:pPr>
      <w:r>
        <w:rPr>
          <w:rFonts w:hint="eastAsia" w:ascii="宋体" w:hAnsi="宋体"/>
          <w:b/>
          <w:color w:val="auto"/>
          <w:sz w:val="36"/>
          <w:szCs w:val="36"/>
          <w:lang w:eastAsia="zh-CN"/>
        </w:rPr>
        <w:t>临时统计调查经费及粮食畜牧业归口调查</w:t>
      </w:r>
    </w:p>
    <w:p>
      <w:pPr>
        <w:jc w:val="center"/>
        <w:rPr>
          <w:rFonts w:hint="eastAsia" w:ascii="宋体" w:hAnsi="宋体" w:eastAsia="宋体"/>
          <w:b/>
          <w:color w:val="auto"/>
          <w:sz w:val="36"/>
          <w:szCs w:val="36"/>
          <w:lang w:val="en-US" w:eastAsia="zh-CN"/>
        </w:rPr>
      </w:pPr>
      <w:r>
        <w:rPr>
          <w:rFonts w:hint="eastAsia" w:ascii="宋体" w:hAnsi="宋体"/>
          <w:b/>
          <w:color w:val="auto"/>
          <w:sz w:val="36"/>
          <w:szCs w:val="36"/>
        </w:rPr>
        <w:t>财政支出项目绩效自评</w:t>
      </w:r>
    </w:p>
    <w:p>
      <w:pPr>
        <w:rPr>
          <w:rFonts w:ascii="仿宋_GB2312" w:eastAsia="仿宋_GB2312"/>
          <w:color w:val="auto"/>
          <w:sz w:val="44"/>
          <w:szCs w:val="44"/>
        </w:rPr>
      </w:pP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一、项目基本情况及自评结论</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（一）项目用款单位简要情况。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i w:val="0"/>
          <w:caps w:val="0"/>
          <w:color w:val="auto"/>
          <w:spacing w:val="0"/>
          <w:kern w:val="0"/>
          <w:sz w:val="32"/>
          <w:szCs w:val="32"/>
          <w:lang w:val="en-US" w:eastAsia="zh-CN" w:bidi="ar"/>
        </w:rPr>
        <w:t>乳源瑶族自治县统计局</w:t>
      </w:r>
      <w:r>
        <w:rPr>
          <w:rFonts w:hint="eastAsia" w:ascii="仿宋_GB2312" w:hAnsi="å®‹ä½“" w:eastAsia="仿宋_GB2312" w:cs="仿宋_GB2312"/>
          <w:i w:val="0"/>
          <w:caps w:val="0"/>
          <w:color w:val="auto"/>
          <w:spacing w:val="0"/>
          <w:kern w:val="0"/>
          <w:sz w:val="32"/>
          <w:szCs w:val="32"/>
          <w:lang w:val="en-US" w:eastAsia="zh-CN" w:bidi="ar"/>
        </w:rPr>
        <w:t>是正科级行政单位，包括1个下属单位乳源瑶族自治县普查中心（非独立核算机构）。主要职责：贯彻执行国家和省、市有关统计工作的方针政策、法律法规和方法制度;组织实施全县国民经济核算制度和投入产出调查;组织实施农林牧渔业、工业、建筑业、批发和零售业、住宿和餐饮业、房地产业、城乡居民收入、能源、投资、科技、人口、劳动力、社会发展基本情况等统计调查；依法备案各镇、各部门统计调查项目；建立并管理全县统计信息化系统和统计数据库系统；完成县委、县政府和市统计局交办的其他任务。</w:t>
      </w:r>
    </w:p>
    <w:p>
      <w:pPr>
        <w:numPr>
          <w:ilvl w:val="0"/>
          <w:numId w:val="1"/>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color w:val="auto"/>
          <w:lang w:val="en-US" w:eastAsia="zh-CN"/>
        </w:rPr>
      </w:pPr>
      <w:r>
        <w:rPr>
          <w:rFonts w:hint="eastAsia" w:ascii="仿宋_GB2312" w:hAnsi="å®‹ä½“" w:eastAsia="仿宋_GB2312" w:cs="仿宋_GB2312"/>
          <w:i w:val="0"/>
          <w:caps w:val="0"/>
          <w:color w:val="auto"/>
          <w:spacing w:val="0"/>
          <w:kern w:val="0"/>
          <w:sz w:val="32"/>
          <w:szCs w:val="32"/>
          <w:lang w:val="en-US" w:eastAsia="zh-CN" w:bidi="ar"/>
        </w:rPr>
        <w:t>1、</w:t>
      </w:r>
      <w:r>
        <w:rPr>
          <w:rFonts w:hint="default" w:ascii="仿宋_GB2312" w:hAnsi="å®‹ä½“" w:eastAsia="仿宋_GB2312" w:cs="仿宋_GB2312"/>
          <w:i w:val="0"/>
          <w:caps w:val="0"/>
          <w:color w:val="auto"/>
          <w:spacing w:val="0"/>
          <w:kern w:val="0"/>
          <w:sz w:val="32"/>
          <w:szCs w:val="32"/>
          <w:lang w:val="en-US" w:eastAsia="zh-CN" w:bidi="ar"/>
        </w:rPr>
        <w:t>合理编制绩效目标。结合年度绩效考评方案和年度工作计划，召集相关业务</w:t>
      </w:r>
      <w:r>
        <w:rPr>
          <w:rFonts w:hint="eastAsia" w:ascii="仿宋_GB2312" w:hAnsi="å®‹ä½“" w:eastAsia="仿宋_GB2312" w:cs="仿宋_GB2312"/>
          <w:i w:val="0"/>
          <w:caps w:val="0"/>
          <w:color w:val="auto"/>
          <w:spacing w:val="0"/>
          <w:kern w:val="0"/>
          <w:sz w:val="32"/>
          <w:szCs w:val="32"/>
          <w:lang w:val="en-US" w:eastAsia="zh-CN" w:bidi="ar"/>
        </w:rPr>
        <w:t>股</w:t>
      </w:r>
      <w:r>
        <w:rPr>
          <w:rFonts w:hint="default" w:ascii="仿宋_GB2312" w:hAnsi="å®‹ä½“" w:eastAsia="仿宋_GB2312" w:cs="仿宋_GB2312"/>
          <w:i w:val="0"/>
          <w:caps w:val="0"/>
          <w:color w:val="auto"/>
          <w:spacing w:val="0"/>
          <w:kern w:val="0"/>
          <w:sz w:val="32"/>
          <w:szCs w:val="32"/>
          <w:lang w:val="en-US" w:eastAsia="zh-CN" w:bidi="ar"/>
        </w:rPr>
        <w:t>室负责人进行探讨、研究、论证，参考以前年度的相关数据，制定了符合实际、可考评的年度目标。资金覆盖率和项目覆盖率符合年度预算布置要求。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2、健全项目项目实施的文件。我局已有保证项目实施的文件，如《关于开展全市主要畜禽监测调查样本轮换工作的通知》（韶调字[2018]49号）、《国家统计局广东调查队办公室文件》 （粤调办字[2016]4号）、《广东省人民政府办公厅关于进一步支持配合广东国家调查工作的通知》（粤办函[2020]99号）。</w:t>
      </w:r>
    </w:p>
    <w:p>
      <w:pPr>
        <w:spacing w:line="360" w:lineRule="auto"/>
        <w:ind w:firstLine="640" w:firstLineChars="200"/>
        <w:rPr>
          <w:rFonts w:hint="default"/>
          <w:color w:val="auto"/>
          <w:lang w:val="en-US"/>
        </w:rPr>
      </w:pPr>
      <w:r>
        <w:rPr>
          <w:rFonts w:hint="eastAsia" w:ascii="仿宋_GB2312" w:hAnsi="å®‹ä½“" w:eastAsia="仿宋_GB2312" w:cs="仿宋_GB2312"/>
          <w:i w:val="0"/>
          <w:caps w:val="0"/>
          <w:color w:val="auto"/>
          <w:spacing w:val="0"/>
          <w:kern w:val="0"/>
          <w:sz w:val="32"/>
          <w:szCs w:val="32"/>
          <w:lang w:val="en-US" w:eastAsia="zh-CN" w:bidi="ar"/>
        </w:rPr>
        <w:t>3、</w:t>
      </w:r>
      <w:r>
        <w:rPr>
          <w:rFonts w:hint="default" w:ascii="仿宋_GB2312" w:hAnsi="å®‹ä½“" w:eastAsia="仿宋_GB2312" w:cs="仿宋_GB2312"/>
          <w:i w:val="0"/>
          <w:caps w:val="0"/>
          <w:color w:val="auto"/>
          <w:spacing w:val="0"/>
          <w:kern w:val="0"/>
          <w:sz w:val="32"/>
          <w:szCs w:val="32"/>
          <w:lang w:val="en-US" w:eastAsia="zh-CN" w:bidi="ar"/>
        </w:rPr>
        <w:t>开展绩效动态监控。按季度开展项目支出绩效监控工作，及时收集汇总季度目标完成情况，发现严重偏差，及时反馈，采取有效措施，重点跟踪，及时纠偏，阶段性任务能够按计划完成，全年性任务基本能够按序时进度执行，保证了年度目标任务的完成。</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w:t>
      </w:r>
      <w:r>
        <w:rPr>
          <w:rFonts w:hint="eastAsia" w:ascii="仿宋_GB2312" w:eastAsia="仿宋_GB2312"/>
          <w:color w:val="auto"/>
          <w:sz w:val="32"/>
          <w:szCs w:val="32"/>
          <w:lang w:val="en-US" w:eastAsia="zh-CN"/>
        </w:rPr>
        <w:t>综</w:t>
      </w:r>
      <w:r>
        <w:rPr>
          <w:rFonts w:hint="eastAsia" w:ascii="仿宋_GB2312" w:eastAsia="仿宋_GB2312"/>
          <w:color w:val="auto"/>
          <w:sz w:val="32"/>
          <w:szCs w:val="32"/>
        </w:rPr>
        <w:t>述项目自评等级</w:t>
      </w:r>
      <w:bookmarkStart w:id="0" w:name="_GoBack"/>
      <w:bookmarkEnd w:id="0"/>
      <w:r>
        <w:rPr>
          <w:rFonts w:hint="eastAsia" w:ascii="仿宋_GB2312" w:eastAsia="仿宋_GB2312"/>
          <w:color w:val="auto"/>
          <w:sz w:val="32"/>
          <w:szCs w:val="32"/>
        </w:rPr>
        <w:t>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项目自评等级是：优，项目自评分数是：90分</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二、绩效表现</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eastAsia" w:ascii="仿宋_GB2312" w:hAnsi="仿宋_GB2312" w:eastAsia="仿宋_GB2312"/>
          <w:color w:val="auto"/>
          <w:sz w:val="32"/>
          <w:szCs w:val="32"/>
        </w:rPr>
      </w:pPr>
      <w:r>
        <w:rPr>
          <w:rFonts w:hint="eastAsia" w:ascii="仿宋_GB2312" w:hAnsi="å®‹ä½“" w:eastAsia="仿宋_GB2312" w:cs="仿宋_GB2312"/>
          <w:i w:val="0"/>
          <w:caps w:val="0"/>
          <w:color w:val="auto"/>
          <w:spacing w:val="0"/>
          <w:kern w:val="0"/>
          <w:sz w:val="32"/>
          <w:szCs w:val="32"/>
          <w:lang w:val="en-US" w:eastAsia="zh-CN" w:bidi="ar"/>
        </w:rPr>
        <w:t>临时统计调查经费及粮食畜牧业归口调查</w:t>
      </w:r>
      <w:r>
        <w:rPr>
          <w:rFonts w:hint="default" w:ascii="仿宋_GB2312" w:hAnsi="å®‹ä½“" w:eastAsia="仿宋_GB2312" w:cs="仿宋_GB2312"/>
          <w:i w:val="0"/>
          <w:caps w:val="0"/>
          <w:color w:val="auto"/>
          <w:spacing w:val="0"/>
          <w:kern w:val="0"/>
          <w:sz w:val="32"/>
          <w:szCs w:val="32"/>
          <w:lang w:val="en-US" w:eastAsia="zh-CN" w:bidi="ar"/>
        </w:rPr>
        <w:t>项目2</w:t>
      </w:r>
      <w:r>
        <w:rPr>
          <w:rFonts w:hint="eastAsia" w:ascii="仿宋_GB2312" w:hAnsi="å®‹ä½“" w:eastAsia="仿宋_GB2312" w:cs="仿宋_GB2312"/>
          <w:i w:val="0"/>
          <w:caps w:val="0"/>
          <w:color w:val="auto"/>
          <w:spacing w:val="0"/>
          <w:kern w:val="0"/>
          <w:sz w:val="32"/>
          <w:szCs w:val="32"/>
          <w:lang w:val="en-US" w:eastAsia="zh-CN" w:bidi="ar"/>
        </w:rPr>
        <w:t>023</w:t>
      </w:r>
      <w:r>
        <w:rPr>
          <w:rFonts w:hint="default" w:ascii="仿宋_GB2312" w:hAnsi="å®‹ä½“" w:eastAsia="仿宋_GB2312" w:cs="仿宋_GB2312"/>
          <w:i w:val="0"/>
          <w:caps w:val="0"/>
          <w:color w:val="auto"/>
          <w:spacing w:val="0"/>
          <w:kern w:val="0"/>
          <w:sz w:val="32"/>
          <w:szCs w:val="32"/>
          <w:lang w:val="en-US" w:eastAsia="zh-CN" w:bidi="ar"/>
        </w:rPr>
        <w:t>年总投入为</w:t>
      </w:r>
      <w:r>
        <w:rPr>
          <w:rFonts w:hint="eastAsia" w:ascii="仿宋_GB2312" w:hAnsi="å®‹ä½“" w:eastAsia="仿宋_GB2312" w:cs="仿宋_GB2312"/>
          <w:i w:val="0"/>
          <w:caps w:val="0"/>
          <w:color w:val="auto"/>
          <w:spacing w:val="0"/>
          <w:kern w:val="0"/>
          <w:sz w:val="32"/>
          <w:szCs w:val="32"/>
          <w:lang w:val="en-US" w:eastAsia="zh-CN" w:bidi="ar"/>
        </w:rPr>
        <w:t>1.97</w:t>
      </w:r>
      <w:r>
        <w:rPr>
          <w:rFonts w:hint="default" w:ascii="仿宋_GB2312" w:hAnsi="å®‹ä½“" w:eastAsia="仿宋_GB2312" w:cs="仿宋_GB2312"/>
          <w:i w:val="0"/>
          <w:caps w:val="0"/>
          <w:color w:val="auto"/>
          <w:spacing w:val="0"/>
          <w:kern w:val="0"/>
          <w:sz w:val="32"/>
          <w:szCs w:val="32"/>
          <w:lang w:val="en-US" w:eastAsia="zh-CN" w:bidi="ar"/>
        </w:rPr>
        <w:t>万元</w:t>
      </w:r>
      <w:r>
        <w:rPr>
          <w:rFonts w:hint="eastAsia" w:ascii="仿宋_GB2312" w:hAnsi="å®‹ä½“" w:eastAsia="仿宋_GB2312" w:cs="仿宋_GB2312"/>
          <w:i w:val="0"/>
          <w:caps w:val="0"/>
          <w:color w:val="auto"/>
          <w:spacing w:val="0"/>
          <w:kern w:val="0"/>
          <w:sz w:val="32"/>
          <w:szCs w:val="32"/>
          <w:lang w:val="en-US" w:eastAsia="zh-CN" w:bidi="ar"/>
        </w:rPr>
        <w:t>。据乳财[2023]4号下拨</w:t>
      </w:r>
      <w:r>
        <w:rPr>
          <w:rFonts w:hint="default" w:ascii="仿宋_GB2312" w:hAnsi="å®‹ä½“" w:eastAsia="仿宋_GB2312" w:cs="仿宋_GB2312"/>
          <w:i w:val="0"/>
          <w:caps w:val="0"/>
          <w:color w:val="auto"/>
          <w:spacing w:val="0"/>
          <w:kern w:val="0"/>
          <w:sz w:val="32"/>
          <w:szCs w:val="32"/>
          <w:lang w:val="en-US" w:eastAsia="zh-CN" w:bidi="ar"/>
        </w:rPr>
        <w:t>项目资金累计</w:t>
      </w:r>
      <w:r>
        <w:rPr>
          <w:rFonts w:hint="eastAsia" w:ascii="仿宋_GB2312" w:hAnsi="å®‹ä½“" w:eastAsia="仿宋_GB2312" w:cs="仿宋_GB2312"/>
          <w:i w:val="0"/>
          <w:caps w:val="0"/>
          <w:color w:val="auto"/>
          <w:spacing w:val="0"/>
          <w:kern w:val="0"/>
          <w:sz w:val="32"/>
          <w:szCs w:val="32"/>
          <w:lang w:val="en-US" w:eastAsia="zh-CN" w:bidi="ar"/>
        </w:rPr>
        <w:t>1.97</w:t>
      </w:r>
      <w:r>
        <w:rPr>
          <w:rFonts w:hint="default" w:ascii="仿宋_GB2312" w:hAnsi="å®‹ä½“" w:eastAsia="仿宋_GB2312" w:cs="仿宋_GB2312"/>
          <w:i w:val="0"/>
          <w:caps w:val="0"/>
          <w:color w:val="auto"/>
          <w:spacing w:val="0"/>
          <w:kern w:val="0"/>
          <w:sz w:val="32"/>
          <w:szCs w:val="32"/>
          <w:lang w:val="en-US" w:eastAsia="zh-CN" w:bidi="ar"/>
        </w:rPr>
        <w:t>万元全部到位，资金到位率100%。</w:t>
      </w:r>
    </w:p>
    <w:p>
      <w:pPr>
        <w:numPr>
          <w:ilvl w:val="0"/>
          <w:numId w:val="2"/>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项目资金实际支出情况，具体详细说明。</w:t>
      </w:r>
    </w:p>
    <w:p>
      <w:pPr>
        <w:spacing w:line="360" w:lineRule="auto"/>
        <w:ind w:firstLine="640" w:firstLineChars="200"/>
        <w:rPr>
          <w:rFonts w:hint="eastAsia" w:ascii="仿宋_GB2312" w:hAnsi="Times New Roman" w:eastAsia="仿宋_GB2312" w:cs="Times New Roman"/>
          <w:color w:val="auto"/>
          <w:sz w:val="32"/>
          <w:szCs w:val="32"/>
          <w:lang w:val="en-US" w:eastAsia="zh-CN"/>
        </w:rPr>
      </w:pPr>
      <w:r>
        <w:rPr>
          <w:rFonts w:hint="default" w:ascii="仿宋_GB2312" w:hAnsi="å®‹ä½“" w:eastAsia="仿宋_GB2312" w:cs="仿宋_GB2312"/>
          <w:b w:val="0"/>
          <w:bCs w:val="0"/>
          <w:i w:val="0"/>
          <w:caps w:val="0"/>
          <w:color w:val="auto"/>
          <w:spacing w:val="0"/>
          <w:kern w:val="0"/>
          <w:sz w:val="32"/>
          <w:szCs w:val="32"/>
          <w:lang w:val="en-US" w:eastAsia="zh-CN" w:bidi="ar"/>
        </w:rPr>
        <w:t>20</w:t>
      </w:r>
      <w:r>
        <w:rPr>
          <w:rFonts w:hint="eastAsia" w:ascii="仿宋_GB2312" w:hAnsi="å®‹ä½“" w:eastAsia="仿宋_GB2312" w:cs="仿宋_GB2312"/>
          <w:b w:val="0"/>
          <w:bCs w:val="0"/>
          <w:i w:val="0"/>
          <w:caps w:val="0"/>
          <w:color w:val="auto"/>
          <w:spacing w:val="0"/>
          <w:kern w:val="0"/>
          <w:sz w:val="32"/>
          <w:szCs w:val="32"/>
          <w:lang w:val="en-US" w:eastAsia="zh-CN" w:bidi="ar"/>
        </w:rPr>
        <w:t>23年</w:t>
      </w:r>
      <w:r>
        <w:rPr>
          <w:rFonts w:hint="eastAsia" w:ascii="仿宋_GB2312" w:eastAsia="仿宋_GB2312" w:cs="Times New Roman"/>
          <w:color w:val="auto"/>
          <w:sz w:val="32"/>
          <w:szCs w:val="32"/>
          <w:lang w:val="en-US" w:eastAsia="zh-CN"/>
        </w:rPr>
        <w:t>临时统计调查经费及粮食畜牧业归口调查</w:t>
      </w:r>
      <w:r>
        <w:rPr>
          <w:rFonts w:hint="eastAsia" w:ascii="仿宋_GB2312" w:hAnsi="Times New Roman" w:eastAsia="仿宋_GB2312" w:cs="Times New Roman"/>
          <w:color w:val="auto"/>
          <w:sz w:val="32"/>
          <w:szCs w:val="32"/>
          <w:lang w:val="en-US" w:eastAsia="zh-CN"/>
        </w:rPr>
        <w:t>项目</w:t>
      </w:r>
      <w:r>
        <w:rPr>
          <w:rFonts w:hint="default" w:ascii="仿宋_GB2312" w:hAnsi="å®‹ä½“" w:eastAsia="仿宋_GB2312" w:cs="仿宋_GB2312"/>
          <w:b w:val="0"/>
          <w:bCs w:val="0"/>
          <w:i w:val="0"/>
          <w:caps w:val="0"/>
          <w:color w:val="auto"/>
          <w:spacing w:val="0"/>
          <w:kern w:val="0"/>
          <w:sz w:val="32"/>
          <w:szCs w:val="32"/>
          <w:lang w:val="en-US" w:eastAsia="zh-CN" w:bidi="ar"/>
        </w:rPr>
        <w:t>实际支出</w:t>
      </w:r>
      <w:r>
        <w:rPr>
          <w:rFonts w:hint="eastAsia" w:ascii="仿宋_GB2312" w:eastAsia="仿宋_GB2312" w:cs="Times New Roman"/>
          <w:color w:val="auto"/>
          <w:sz w:val="32"/>
          <w:szCs w:val="32"/>
          <w:lang w:val="en-US" w:eastAsia="zh-CN"/>
        </w:rPr>
        <w:t>1.97</w:t>
      </w:r>
      <w:r>
        <w:rPr>
          <w:rFonts w:hint="eastAsia" w:ascii="仿宋_GB2312" w:hAnsi="Times New Roman" w:eastAsia="仿宋_GB2312" w:cs="Times New Roman"/>
          <w:color w:val="auto"/>
          <w:sz w:val="32"/>
          <w:szCs w:val="32"/>
          <w:lang w:val="en-US" w:eastAsia="zh-CN"/>
        </w:rPr>
        <w:t>万元</w:t>
      </w:r>
      <w:r>
        <w:rPr>
          <w:rFonts w:hint="eastAsia" w:ascii="仿宋_GB2312"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lang w:val="en-US" w:eastAsia="zh-CN"/>
        </w:rPr>
        <w:t>资金使用率100%</w:t>
      </w:r>
      <w:r>
        <w:rPr>
          <w:rFonts w:hint="eastAsia" w:ascii="仿宋_GB2312" w:eastAsia="仿宋_GB2312" w:cs="Times New Roman"/>
          <w:color w:val="auto"/>
          <w:sz w:val="32"/>
          <w:szCs w:val="32"/>
          <w:lang w:val="en-US" w:eastAsia="zh-CN"/>
        </w:rPr>
        <w:t>。主要用</w:t>
      </w:r>
      <w:r>
        <w:rPr>
          <w:rFonts w:hint="eastAsia" w:ascii="仿宋_GB2312" w:hAnsi="Times New Roman" w:eastAsia="仿宋_GB2312" w:cs="Times New Roman"/>
          <w:color w:val="auto"/>
          <w:sz w:val="32"/>
          <w:szCs w:val="32"/>
          <w:lang w:val="en-US" w:eastAsia="zh-CN"/>
        </w:rPr>
        <w:t>于农业专业印刷费支出1.34万元；业务培训方面支出0.16万元；农业专业宣传费0.47万元。</w:t>
      </w:r>
    </w:p>
    <w:p>
      <w:pPr>
        <w:numPr>
          <w:ilvl w:val="0"/>
          <w:numId w:val="2"/>
        </w:numPr>
        <w:spacing w:line="360" w:lineRule="auto"/>
        <w:ind w:left="0" w:leftChars="0"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（经济、政治和社会效益）。</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促进畜牧产业健康发展，为制定畜牧产业政策和措施提供依据，推动现代农业发展。</w:t>
      </w:r>
    </w:p>
    <w:p>
      <w:pPr>
        <w:numPr>
          <w:ilvl w:val="0"/>
          <w:numId w:val="2"/>
        </w:numPr>
        <w:spacing w:line="360" w:lineRule="auto"/>
        <w:ind w:left="0" w:leftChars="0"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项目资金使用效益，对环境、经济、社会的可持续影响。</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完成畜禽抽样样本单位的调查与统计,切实提高畜牧业统计数据质量。</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（二）存在问题。</w:t>
      </w:r>
    </w:p>
    <w:p>
      <w:pPr>
        <w:pStyle w:val="2"/>
        <w:rPr>
          <w:rFonts w:hint="default" w:eastAsia="宋体"/>
          <w:color w:val="auto"/>
          <w:lang w:val="en-US" w:eastAsia="zh-CN"/>
        </w:rPr>
      </w:pPr>
      <w:r>
        <w:rPr>
          <w:rFonts w:hint="eastAsia" w:ascii="仿宋_GB2312" w:hAnsi="仿宋_GB2312" w:eastAsia="仿宋_GB2312" w:cs="Times New Roman"/>
          <w:color w:val="auto"/>
          <w:kern w:val="2"/>
          <w:sz w:val="32"/>
          <w:szCs w:val="32"/>
          <w:u w:val="none"/>
          <w:lang w:val="en-US" w:eastAsia="zh-CN" w:bidi="ar-SA"/>
        </w:rPr>
        <w:t>无。</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960" w:firstLineChars="300"/>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无。</w:t>
      </w:r>
    </w:p>
    <w:p>
      <w:pPr>
        <w:spacing w:line="360" w:lineRule="auto"/>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其他需要说明的情况</w:t>
      </w:r>
    </w:p>
    <w:p>
      <w:pPr>
        <w:spacing w:line="360" w:lineRule="auto"/>
        <w:ind w:firstLine="960" w:firstLineChars="3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4500" w:firstLineChars="1500"/>
        <w:rPr>
          <w:rFonts w:hint="eastAsia" w:ascii="宋体" w:hAnsi="宋体" w:eastAsia="宋体" w:cs="宋体"/>
          <w:color w:val="auto"/>
          <w:sz w:val="30"/>
          <w:szCs w:val="30"/>
          <w:lang w:val="en-US" w:eastAsia="zh-CN"/>
        </w:rPr>
      </w:pPr>
    </w:p>
    <w:p>
      <w:pPr>
        <w:spacing w:line="360" w:lineRule="auto"/>
        <w:ind w:firstLine="4500" w:firstLineChars="1500"/>
        <w:rPr>
          <w:rFonts w:hint="eastAsia" w:ascii="宋体" w:hAnsi="宋体" w:eastAsia="宋体" w:cs="宋体"/>
          <w:color w:val="auto"/>
          <w:sz w:val="30"/>
          <w:szCs w:val="30"/>
          <w:lang w:val="en-US" w:eastAsia="zh-CN"/>
        </w:rPr>
      </w:pPr>
    </w:p>
    <w:p>
      <w:pPr>
        <w:spacing w:line="360" w:lineRule="auto"/>
        <w:ind w:firstLine="5400" w:firstLineChars="18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乳源瑶族自治县统计局</w:t>
      </w:r>
    </w:p>
    <w:p>
      <w:pPr>
        <w:spacing w:line="360" w:lineRule="auto"/>
        <w:ind w:firstLine="5700" w:firstLineChars="19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202</w:t>
      </w:r>
      <w:r>
        <w:rPr>
          <w:rFonts w:hint="eastAsia" w:ascii="宋体" w:hAnsi="宋体" w:cs="宋体"/>
          <w:color w:val="auto"/>
          <w:sz w:val="30"/>
          <w:szCs w:val="30"/>
          <w:lang w:val="en-US" w:eastAsia="zh-CN"/>
        </w:rPr>
        <w:t>4</w:t>
      </w:r>
      <w:r>
        <w:rPr>
          <w:rFonts w:hint="eastAsia" w:ascii="宋体" w:hAnsi="宋体" w:eastAsia="宋体" w:cs="宋体"/>
          <w:color w:val="auto"/>
          <w:sz w:val="30"/>
          <w:szCs w:val="30"/>
          <w:lang w:val="en-US" w:eastAsia="zh-CN"/>
        </w:rPr>
        <w:t>年</w:t>
      </w:r>
      <w:r>
        <w:rPr>
          <w:rFonts w:hint="eastAsia" w:ascii="宋体" w:hAnsi="宋体" w:cs="宋体"/>
          <w:color w:val="auto"/>
          <w:sz w:val="30"/>
          <w:szCs w:val="30"/>
          <w:lang w:val="en-US" w:eastAsia="zh-CN"/>
        </w:rPr>
        <w:t>3</w:t>
      </w:r>
      <w:r>
        <w:rPr>
          <w:rFonts w:hint="eastAsia" w:ascii="宋体" w:hAnsi="宋体" w:eastAsia="宋体" w:cs="宋体"/>
          <w:color w:val="auto"/>
          <w:sz w:val="30"/>
          <w:szCs w:val="30"/>
          <w:lang w:val="en-US" w:eastAsia="zh-CN"/>
        </w:rPr>
        <w:t>月</w:t>
      </w:r>
      <w:r>
        <w:rPr>
          <w:rFonts w:hint="eastAsia" w:ascii="宋体" w:hAnsi="宋体" w:cs="宋体"/>
          <w:color w:val="auto"/>
          <w:sz w:val="30"/>
          <w:szCs w:val="30"/>
          <w:lang w:val="en-US" w:eastAsia="zh-CN"/>
        </w:rPr>
        <w:t>26</w:t>
      </w:r>
      <w:r>
        <w:rPr>
          <w:rFonts w:hint="eastAsia" w:ascii="宋体" w:hAnsi="宋体" w:eastAsia="宋体" w:cs="宋体"/>
          <w:color w:val="auto"/>
          <w:sz w:val="30"/>
          <w:szCs w:val="30"/>
          <w:lang w:val="en-US" w:eastAsia="zh-CN"/>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667606"/>
    <w:multiLevelType w:val="singleLevel"/>
    <w:tmpl w:val="C5667606"/>
    <w:lvl w:ilvl="0" w:tentative="0">
      <w:start w:val="2"/>
      <w:numFmt w:val="chineseCounting"/>
      <w:suff w:val="nothing"/>
      <w:lvlText w:val="（%1）"/>
      <w:lvlJc w:val="left"/>
      <w:rPr>
        <w:rFonts w:hint="eastAsia"/>
      </w:rPr>
    </w:lvl>
  </w:abstractNum>
  <w:abstractNum w:abstractNumId="1">
    <w:nsid w:val="4E8B8255"/>
    <w:multiLevelType w:val="singleLevel"/>
    <w:tmpl w:val="4E8B825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FiZjhhZjk5OWIyMjVhYjBmNmNiNzI4YThmOTdjMT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EFB3F92"/>
    <w:rsid w:val="1003364C"/>
    <w:rsid w:val="196B1CFB"/>
    <w:rsid w:val="1BBA11D3"/>
    <w:rsid w:val="1BEA0FB0"/>
    <w:rsid w:val="23E8163D"/>
    <w:rsid w:val="264719B7"/>
    <w:rsid w:val="26F947D6"/>
    <w:rsid w:val="27602F82"/>
    <w:rsid w:val="2A0C3112"/>
    <w:rsid w:val="2C0A502B"/>
    <w:rsid w:val="364167E7"/>
    <w:rsid w:val="38D35053"/>
    <w:rsid w:val="39921607"/>
    <w:rsid w:val="3DDB1208"/>
    <w:rsid w:val="415F5F07"/>
    <w:rsid w:val="468762A1"/>
    <w:rsid w:val="487D6DA6"/>
    <w:rsid w:val="4956752C"/>
    <w:rsid w:val="4DBB1708"/>
    <w:rsid w:val="4FDE6413"/>
    <w:rsid w:val="5375086E"/>
    <w:rsid w:val="553C5C12"/>
    <w:rsid w:val="57204F18"/>
    <w:rsid w:val="59367B5C"/>
    <w:rsid w:val="61213100"/>
    <w:rsid w:val="613441C2"/>
    <w:rsid w:val="65393053"/>
    <w:rsid w:val="66AC7CE0"/>
    <w:rsid w:val="69676617"/>
    <w:rsid w:val="6E043E50"/>
    <w:rsid w:val="712E21AE"/>
    <w:rsid w:val="74251D33"/>
    <w:rsid w:val="79C96515"/>
    <w:rsid w:val="7EC87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链接"/>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1096</Words>
  <Characters>1153</Characters>
  <Lines>1</Lines>
  <Paragraphs>1</Paragraphs>
  <TotalTime>26</TotalTime>
  <ScaleCrop>false</ScaleCrop>
  <LinksUpToDate>false</LinksUpToDate>
  <CharactersWithSpaces>1154</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2024-03-27T02:36:53Z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y fmtid="{D5CDD505-2E9C-101B-9397-08002B2CF9AE}" pid="3" name="ICV">
    <vt:lpwstr>DAEE9451972441EFA4518796D0496467</vt:lpwstr>
  </property>
</Properties>
</file>