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镇政府工作经费”主要用于但不限于我镇非统发人员的工资福利支出，包括工资、社保、公积金、绩效等。该项经费一般待其他工资福利项目支出完毕后按实际工资发放，由人事核定非统发人员工资，镇财务提出付款申请，镇领导审批，镇财务审核无误后支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该项目自评分数100分。“镇政府工作经费”已按照要求支付各项工作经费，对于支付材料附件等严格审核。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”今年预算90万元，支出率100%。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今年该项目实际支出90万元，主要用于支付非统发人员的工资福利支出等。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下发“镇政府工作经费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，充分保障了我镇非统发人员的基本工资水平，推动我镇各项工作的有序开展。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该项经费确保极大调动了我镇非统发人员的工作积极性，保障了基层人才队伍的建设，为我镇各项工作的开展提供了充分的人才储备。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32816EF"/>
    <w:rsid w:val="1BEA0FB0"/>
    <w:rsid w:val="229839DA"/>
    <w:rsid w:val="2A0C3112"/>
    <w:rsid w:val="2E9530DE"/>
    <w:rsid w:val="39921607"/>
    <w:rsid w:val="402D3E11"/>
    <w:rsid w:val="42CA52A2"/>
    <w:rsid w:val="44FD6BBE"/>
    <w:rsid w:val="468762A1"/>
    <w:rsid w:val="468A694E"/>
    <w:rsid w:val="5375086E"/>
    <w:rsid w:val="59D601F1"/>
    <w:rsid w:val="5DC260DC"/>
    <w:rsid w:val="637D2246"/>
    <w:rsid w:val="6F264F1C"/>
    <w:rsid w:val="75673C5D"/>
    <w:rsid w:val="7F020A7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7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2024-03-29T03:33:18Z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E60966BC0A5445C1B6396B21DCDF70DE_13</vt:lpwstr>
  </property>
</Properties>
</file>