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村民小组长经费”主要用于发放我镇281名小组长补贴。该项经费一般年中发放，待党建办、三资办统计好发放人数及发放金额，镇领导审批，镇财务审核无误后发放。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该项目自评分数100分。“村民小组长经费”已按照文件要求的标准、上报的小组长人数，全额、及时、合理的发放该项经费。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村民小组长经费”今年预算70250元，已完成资金的全额发放。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今年该项目支出标准为250元/人/年，一共281名村民小组长，发放金额为70250元。已完成资金的全额发放。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发放村民小组长经费，极大调动了村民小组长的积极性，有利于基层自治管理，维护基层的稳定。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bookmarkStart w:id="0" w:name="_GoBack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该项经费的发放有利于保障村民小组长的基本权益，提高小组长的收入水平，从而提升政府形象。</w:t>
      </w:r>
      <w:bookmarkEnd w:id="0"/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A0C3112"/>
    <w:rsid w:val="2E9530DE"/>
    <w:rsid w:val="39921607"/>
    <w:rsid w:val="402D3E11"/>
    <w:rsid w:val="468762A1"/>
    <w:rsid w:val="5375086E"/>
    <w:rsid w:val="6F264F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32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2024-03-29T01:38:35Z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5C4169547A8843BB9C387800C9B20C1F_13</vt:lpwstr>
  </property>
</Properties>
</file>