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2D726">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14:paraId="2BC231C5">
      <w:pPr>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财政支出项目绩效自评报告</w:t>
      </w:r>
    </w:p>
    <w:p w14:paraId="4A35BD50">
      <w:pPr>
        <w:jc w:val="center"/>
        <w:rPr>
          <w:rFonts w:hint="default" w:ascii="仿宋_GB2312" w:eastAsia="仿宋_GB2312"/>
          <w:sz w:val="44"/>
          <w:szCs w:val="44"/>
          <w:lang w:val="en-US" w:eastAsia="zh-CN"/>
        </w:rPr>
      </w:pPr>
      <w:r>
        <w:rPr>
          <w:rFonts w:hint="eastAsia" w:ascii="楷体_GB2312" w:hAnsi="楷体_GB2312" w:eastAsia="楷体_GB2312" w:cs="楷体_GB2312"/>
          <w:sz w:val="32"/>
          <w:szCs w:val="32"/>
          <w:lang w:val="en-US" w:eastAsia="zh-CN"/>
        </w:rPr>
        <w:t>县水务局</w:t>
      </w:r>
    </w:p>
    <w:p w14:paraId="66EF098E">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14:paraId="794A78EC">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（一）项目用款单位简要情况。</w:t>
      </w:r>
    </w:p>
    <w:p w14:paraId="5662C78F">
      <w:pPr>
        <w:spacing w:line="360" w:lineRule="auto"/>
        <w:ind w:firstLine="640" w:firstLineChars="200"/>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县水务局是县政府工作部门，为正科级第三条 县水务局贯彻落实党中央、省委和市委关于水务工作的方针政策和决策部署，按照县委工作要求，在履行职责过程中坚持和加强党对水务工作的集中统一领导。主要职责是负责保障水资源的合理开发利用</w:t>
      </w:r>
      <w:r>
        <w:rPr>
          <w:rFonts w:hint="eastAsia" w:ascii="仿宋_GB2312" w:hAnsi="仿宋_GB2312" w:eastAsia="仿宋_GB2312" w:cs="仿宋_GB2312"/>
          <w:sz w:val="32"/>
          <w:szCs w:val="32"/>
          <w:lang w:eastAsia="zh-CN"/>
        </w:rPr>
        <w:t>，组织开展水资源保护工作，负责生活、生产经营和生态环境用水的统筹和保障、节约用水工作、提出水利固定资产投资规模、方向及县级财政性资金安排建议并组织指导实施、实施水利设施、水域及其岸线的管理、保护与综合利用、监督水利工程建设与运行管理、水土保持工作、组织开展江河湖库和地下水监测工作、组织开展农村水利工作。</w:t>
      </w:r>
    </w:p>
    <w:p w14:paraId="34946867">
      <w:pPr>
        <w:numPr>
          <w:ilvl w:val="0"/>
          <w:numId w:val="1"/>
        </w:num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14:paraId="131401B0">
      <w:pPr>
        <w:numPr>
          <w:ilvl w:val="0"/>
          <w:numId w:val="0"/>
        </w:numPr>
        <w:spacing w:line="360" w:lineRule="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lang w:val="en-US" w:eastAsia="zh-CN"/>
        </w:rPr>
        <w:t>乳源瑶族自治县小型水库坝顶硬化工程包括白露塘水库、鹅颈水库、黄埔水库等29宗小型水库坝顶及部分坝顶周围空地、坝顶与进库道路连接段硬化。</w:t>
      </w:r>
    </w:p>
    <w:p w14:paraId="0C70BDAA">
      <w:pPr>
        <w:numPr>
          <w:ilvl w:val="0"/>
          <w:numId w:val="0"/>
        </w:numPr>
        <w:spacing w:line="360" w:lineRule="auto"/>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乳源瑶族自治县2023年度小型水库安全监测项目包括15座小型水库大坝安全监测要素包括渗流量、渗流压力、表面变形监测。</w:t>
      </w:r>
    </w:p>
    <w:p w14:paraId="255ADCFF">
      <w:pPr>
        <w:numPr>
          <w:ilvl w:val="0"/>
          <w:numId w:val="0"/>
        </w:numPr>
        <w:spacing w:line="360" w:lineRule="auto"/>
        <w:ind w:firstLine="64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乳源瑶族自治县2023年山塘水库除险加固工程</w:t>
      </w:r>
      <w:r>
        <w:rPr>
          <w:rFonts w:hint="eastAsia" w:ascii="仿宋_GB2312" w:hAnsi="仿宋_GB2312" w:eastAsia="仿宋_GB2312" w:cs="仿宋_GB2312"/>
          <w:sz w:val="32"/>
          <w:szCs w:val="32"/>
          <w:lang w:val="en-US" w:eastAsia="zh-CN"/>
        </w:rPr>
        <w:t>包括加固位于韶关市乳源瑶族自治县境内，涉及大桥镇（25宗）、乳城镇（3宗）、洛阳镇（3宗）及一六镇（3宗）等4个镇，共34宗山塘。</w:t>
      </w:r>
    </w:p>
    <w:p w14:paraId="54B2FE34">
      <w:pPr>
        <w:pStyle w:val="2"/>
        <w:ind w:firstLine="640" w:firstLineChars="200"/>
        <w:rPr>
          <w:rFonts w:hint="default"/>
          <w:lang w:val="en-US" w:eastAsia="zh-CN"/>
        </w:rPr>
      </w:pPr>
      <w:r>
        <w:rPr>
          <w:rFonts w:hint="eastAsia" w:ascii="仿宋_GB2312" w:hAnsi="仿宋_GB2312" w:eastAsia="仿宋_GB2312" w:cs="仿宋_GB2312"/>
          <w:sz w:val="32"/>
          <w:szCs w:val="32"/>
          <w:lang w:val="en-US" w:eastAsia="zh-CN"/>
        </w:rPr>
        <w:t>乳源瑶族自治县小型水库安全隐患治理工程是对乳源瑶族自治县物业化管护水库所发现的问题进行维修处理，确保水库安全度汛，保障项目区人民群众生命财产安全。各宗水库建设内容如下</w:t>
      </w:r>
    </w:p>
    <w:p w14:paraId="11021752">
      <w:pPr>
        <w:numPr>
          <w:ilvl w:val="0"/>
          <w:numId w:val="1"/>
        </w:numPr>
        <w:spacing w:line="360" w:lineRule="auto"/>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综</w:t>
      </w:r>
      <w:r>
        <w:rPr>
          <w:rFonts w:hint="eastAsia" w:ascii="楷体_GB2312" w:hAnsi="楷体_GB2312" w:eastAsia="楷体_GB2312" w:cs="楷体_GB2312"/>
          <w:sz w:val="32"/>
          <w:szCs w:val="32"/>
        </w:rPr>
        <w:t>述项目自评等级和分数，并对照佐证材料逐一分析。</w:t>
      </w:r>
    </w:p>
    <w:p w14:paraId="2B9C0225">
      <w:pPr>
        <w:numPr>
          <w:ilvl w:val="0"/>
          <w:numId w:val="0"/>
        </w:num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综</w:t>
      </w:r>
      <w:r>
        <w:rPr>
          <w:rFonts w:hint="eastAsia" w:ascii="仿宋_GB2312" w:hAnsi="仿宋_GB2312" w:eastAsia="仿宋_GB2312" w:cs="仿宋_GB2312"/>
          <w:sz w:val="32"/>
          <w:szCs w:val="32"/>
        </w:rPr>
        <w:t>述项目自评等级和分数，并对照佐证材料逐一分析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本项目我局自评得分</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分。</w:t>
      </w:r>
    </w:p>
    <w:p w14:paraId="143321AA">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一是项目投入阶段，投入阶段总得分20分，自评得分18分。在论证决策模块乳源瑶族自治县小型水库坝顶硬化工程、乳源瑶族自治县2023年度小型水库安全监测项目、</w:t>
      </w:r>
      <w:r>
        <w:rPr>
          <w:rFonts w:hint="default" w:ascii="仿宋_GB2312" w:hAnsi="仿宋_GB2312" w:eastAsia="仿宋_GB2312" w:cs="仿宋_GB2312"/>
          <w:sz w:val="32"/>
          <w:szCs w:val="32"/>
          <w:lang w:val="en-US" w:eastAsia="zh-CN"/>
        </w:rPr>
        <w:t>乳源瑶族自治县2023年山塘水库除险加固</w:t>
      </w:r>
      <w:r>
        <w:rPr>
          <w:rFonts w:hint="eastAsia" w:ascii="仿宋_GB2312" w:hAnsi="仿宋_GB2312" w:eastAsia="仿宋_GB2312" w:cs="仿宋_GB2312"/>
          <w:sz w:val="32"/>
          <w:szCs w:val="32"/>
          <w:lang w:val="en-US" w:eastAsia="zh-CN"/>
        </w:rPr>
        <w:t>，4宗项目具有前期可行性研究报告或摸底调查工作总结等材料经过集体会议协商、并咨询相关专家意见、且有文字材料。所以该模块得4分；在目标设置阶段该资金的绩效考核目标是依据相关基础信息和证据判断目标设置的，有可衡量性的产出和效果指标，所以该项得分为5分。在保障措施模块，我局制定了项目法人实施方案以及监督检查实施细则，具备条件实施。并制定了相应的工作计划，监督落实主体责任，完成4宗项目的事实，所以该项得分为2分。在资金落实方面，各类来源的资金足额到位的，各类来源的资金及时到位的，资金分配有助于实现资金的绩效目标，且该项资金已完成足额支付，所以该项得分为7分。</w:t>
      </w:r>
    </w:p>
    <w:p w14:paraId="4111EC43">
      <w:pPr>
        <w:pStyle w:val="2"/>
        <w:ind w:firstLine="64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二是项目过程模块，该模块总得分</w:t>
      </w:r>
      <w:r>
        <w:rPr>
          <w:rFonts w:hint="eastAsia" w:ascii="仿宋_GB2312" w:hAnsi="仿宋_GB2312" w:eastAsia="仿宋_GB2312" w:cs="仿宋_GB2312"/>
          <w:b w:val="0"/>
          <w:bCs w:val="0"/>
          <w:sz w:val="32"/>
          <w:szCs w:val="32"/>
          <w:lang w:val="en-US" w:eastAsia="zh-CN"/>
        </w:rPr>
        <w:t>20分，自评得分19分。</w:t>
      </w:r>
    </w:p>
    <w:p w14:paraId="61993300">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资金管理方面，该项目资金已完成100%支付率，完成了预定的考核目标，支付程序上，局严格按照县财政支付要求收集相关支付材料，审定工程量后以及有无“三超”问题后，在提交至财政审核并做好了资金支付台账意见支付明细表等，该项得分6分；在实施程序方面，项目或方案样按规定程序实施,包括项目或方案调整按规定履行报批手续，项目招投标、建设、验收等或方案实施4宗项目均严格执行相关制度规定的，所以该项得分为3分；在监管有效性方面，我局建立有效管理机制，制定了项目监管实施细则且执行情况良好，该项得分4分。</w:t>
      </w:r>
    </w:p>
    <w:p w14:paraId="491A957C">
      <w:pPr>
        <w:pStyle w:val="2"/>
        <w:ind w:firstLine="640"/>
        <w:rPr>
          <w:rFonts w:hint="eastAsia" w:ascii="仿宋_GB2312" w:eastAsia="仿宋_GB2312" w:cs="Times New Roman"/>
          <w:sz w:val="32"/>
          <w:szCs w:val="32"/>
          <w:lang w:val="en-US" w:eastAsia="zh-CN"/>
        </w:rPr>
      </w:pPr>
      <w:r>
        <w:rPr>
          <w:rFonts w:hint="eastAsia" w:ascii="仿宋_GB2312" w:eastAsia="仿宋_GB2312" w:cs="Times New Roman"/>
          <w:b w:val="0"/>
          <w:bCs w:val="0"/>
          <w:sz w:val="32"/>
          <w:szCs w:val="32"/>
          <w:lang w:eastAsia="zh-CN"/>
        </w:rPr>
        <w:t>三是项目产出模块，该模块得分</w:t>
      </w:r>
      <w:r>
        <w:rPr>
          <w:rFonts w:hint="eastAsia" w:ascii="仿宋_GB2312" w:eastAsia="仿宋_GB2312" w:cs="Times New Roman"/>
          <w:b w:val="0"/>
          <w:bCs w:val="0"/>
          <w:sz w:val="32"/>
          <w:szCs w:val="32"/>
          <w:lang w:val="en-US" w:eastAsia="zh-CN"/>
        </w:rPr>
        <w:t>30分，自评得分30分。</w:t>
      </w:r>
      <w:r>
        <w:rPr>
          <w:rFonts w:hint="eastAsia" w:ascii="仿宋_GB2312" w:eastAsia="仿宋_GB2312" w:cs="Times New Roman"/>
          <w:sz w:val="32"/>
          <w:szCs w:val="32"/>
          <w:lang w:val="en-US" w:eastAsia="zh-CN"/>
        </w:rPr>
        <w:t>项目在预算执行进度与事项完成进度基本匹配，实际支出未超过预算计划的，项目预算控制得3分。该项目在与同类项目或市场价格比较，项目实施的成本（包括工程造价、物品采购单价、人员经费等）属于合理范围的，项目成本控制得分2分，项目经济性总得分5分。加固输水涵管25座，新建虹吸管1座，加固溢洪道24座，山塘清淤9座，均达到绩效数量指标。该项目完成年限为2023年12月底，工程项目建设及防洪评价报告编制均在2023年12月底前完成，项目时效指标均已达标。该项目质量指标验收合格率模块，项目完工验收合格率均为合格，项目质量指标均已达标，项目效率性得分30分。</w:t>
      </w:r>
    </w:p>
    <w:p w14:paraId="1422DBAE">
      <w:pPr>
        <w:pStyle w:val="2"/>
        <w:ind w:firstLine="640"/>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b w:val="0"/>
          <w:bCs w:val="0"/>
          <w:sz w:val="32"/>
          <w:szCs w:val="32"/>
          <w:lang w:val="en-US" w:eastAsia="zh-CN"/>
        </w:rPr>
        <w:t>四是项目效益模块，该模块得分30分，自评得分30分。4宗实施后具有较好的社会效益、经济效益和环境效益，更好的地解决了建设范围内的农田用水问题，提高当地农民的收入，充分发挥灌溉的功能。本项目对生态环境、水环境、声环境、空气环境和社会环境将产生一定的影响，但是可以通过采取各种环境保护措施来最大限度地减轻或者消除工程对环境的影响。在采取相应的防护措施的基础上，从环境保护的角度上看，项目建设是可行的。4宗工程协调人口、经济、环境、资源，非赢利性的、公益性强的，以社会效益为主，兼有一定经济效益的水利基础设施工程。工程竣工后对当地人民生命财产起到安全保障作用，并具有一定的灌溉、防洪效益。4宗均是为山塘水库除去安全隐患，解除下游农村居民生命和财产安全威胁，防洪效益显著。山塘是农村主要的蓄水设施，是农村用水最主要水源，事关农村生活生产用水安全，通过开展山塘综合整治，对提高农村人畜饮水安全和生产用水保障效益显著。所以该项指标得满分。</w:t>
      </w:r>
    </w:p>
    <w:p w14:paraId="6F04FA0A">
      <w:pPr>
        <w:spacing w:line="360" w:lineRule="auto"/>
        <w:ind w:firstLine="640" w:firstLineChars="200"/>
        <w:rPr>
          <w:rFonts w:ascii="黑体" w:eastAsia="黑体"/>
          <w:sz w:val="32"/>
          <w:szCs w:val="32"/>
        </w:rPr>
      </w:pPr>
      <w:r>
        <w:rPr>
          <w:rFonts w:hint="eastAsia" w:ascii="黑体" w:eastAsia="黑体"/>
          <w:sz w:val="32"/>
          <w:szCs w:val="32"/>
        </w:rPr>
        <w:t>二、绩效表现</w:t>
      </w:r>
    </w:p>
    <w:p w14:paraId="54E8D9DB">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14:paraId="0D6FA292">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14:paraId="67917256">
      <w:pPr>
        <w:spacing w:line="360" w:lineRule="auto"/>
        <w:ind w:firstLine="640" w:firstLineChars="200"/>
        <w:rPr>
          <w:rFonts w:hint="eastAsia"/>
        </w:rPr>
      </w:pPr>
      <w:r>
        <w:rPr>
          <w:rFonts w:hint="eastAsia" w:ascii="仿宋_GB2312" w:hAnsi="仿宋_GB2312" w:eastAsia="仿宋_GB2312"/>
          <w:sz w:val="32"/>
          <w:szCs w:val="21"/>
        </w:rPr>
        <w:t>本年度申请的资金全部及时足额到位，我局也根据工作安排，组织了公开招标工作，并与中标单位签订了政府采购合同。整个资金支付符合我局与县财政支付要求和程序，支付进度基本符合预期，资金结余是因为目前正在结算后续款项，资金使用做到公开透明，支付凭证齐备，经得起审计和检查。</w:t>
      </w:r>
    </w:p>
    <w:p w14:paraId="373148CE">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14:paraId="039F9F69">
      <w:pPr>
        <w:pStyle w:val="2"/>
        <w:numPr>
          <w:ilvl w:val="0"/>
          <w:numId w:val="0"/>
        </w:numPr>
        <w:rPr>
          <w:rFonts w:hint="default" w:eastAsia="宋体"/>
          <w:lang w:val="en-US" w:eastAsia="zh-CN"/>
        </w:rPr>
      </w:pPr>
      <w:r>
        <w:rPr>
          <w:rFonts w:hint="eastAsia" w:eastAsia="宋体"/>
          <w:lang w:val="en-US" w:eastAsia="zh-CN"/>
        </w:rPr>
        <w:t xml:space="preserve">      </w:t>
      </w:r>
      <w:r>
        <w:rPr>
          <w:rFonts w:hint="eastAsia" w:ascii="仿宋_GB2312" w:hAnsi="仿宋_GB2312" w:eastAsia="仿宋_GB2312" w:cs="Times New Roman"/>
          <w:sz w:val="32"/>
          <w:szCs w:val="21"/>
        </w:rPr>
        <w:t>2023年4月地方政府新增政府债券资金</w:t>
      </w:r>
      <w:r>
        <w:rPr>
          <w:rFonts w:hint="eastAsia" w:ascii="仿宋_GB2312" w:hAnsi="仿宋_GB2312" w:eastAsia="仿宋_GB2312" w:cs="Times New Roman"/>
          <w:sz w:val="32"/>
          <w:szCs w:val="21"/>
          <w:lang w:val="en-US" w:eastAsia="zh-CN"/>
        </w:rPr>
        <w:t>共支出1000</w:t>
      </w:r>
      <w:bookmarkStart w:id="0" w:name="_GoBack"/>
      <w:bookmarkEnd w:id="0"/>
      <w:r>
        <w:rPr>
          <w:rFonts w:hint="eastAsia" w:ascii="仿宋_GB2312" w:hAnsi="仿宋_GB2312" w:eastAsia="仿宋_GB2312" w:cs="Times New Roman"/>
          <w:sz w:val="32"/>
          <w:szCs w:val="21"/>
        </w:rPr>
        <w:t>万元</w:t>
      </w:r>
      <w:r>
        <w:rPr>
          <w:rFonts w:hint="eastAsia" w:ascii="仿宋_GB2312" w:hAnsi="仿宋_GB2312" w:eastAsia="仿宋_GB2312" w:cs="Times New Roman"/>
          <w:sz w:val="32"/>
          <w:szCs w:val="21"/>
          <w:lang w:eastAsia="zh-CN"/>
        </w:rPr>
        <w:t>，</w:t>
      </w:r>
      <w:r>
        <w:rPr>
          <w:rFonts w:hint="eastAsia" w:ascii="仿宋_GB2312" w:hAnsi="仿宋_GB2312" w:eastAsia="仿宋_GB2312" w:cs="Times New Roman"/>
          <w:sz w:val="32"/>
          <w:szCs w:val="21"/>
          <w:lang w:val="en-US" w:eastAsia="zh-CN"/>
        </w:rPr>
        <w:t>分别为</w:t>
      </w:r>
      <w:r>
        <w:rPr>
          <w:rFonts w:hint="eastAsia" w:ascii="仿宋_GB2312" w:hAnsi="仿宋_GB2312" w:eastAsia="仿宋_GB2312" w:cs="Times New Roman"/>
          <w:sz w:val="32"/>
          <w:szCs w:val="21"/>
          <w:lang w:eastAsia="zh-CN"/>
        </w:rPr>
        <w:t>乳源瑶族自治县2023年小型水库安全监测项目预付款1162500元</w:t>
      </w:r>
      <w:r>
        <w:rPr>
          <w:rFonts w:hint="eastAsia" w:ascii="仿宋_GB2312" w:hAnsi="仿宋_GB2312" w:eastAsia="仿宋_GB2312" w:cs="Times New Roman"/>
          <w:sz w:val="32"/>
          <w:szCs w:val="21"/>
          <w:lang w:val="en-US" w:eastAsia="zh-CN"/>
        </w:rPr>
        <w:t>，进度款1290000元，设计费133027元，监理费67920元；进度款181369元；乳源县2023年山塘水库除险加固工程勘察设计费271863元，检测费18951，造价咨询费28610元；乳源县小型水库安全隐患治理工程检测费10215，监理费43812元，乳源瑶族自治县小型水库坝顶硬化工程勘察设计费</w:t>
      </w:r>
    </w:p>
    <w:p w14:paraId="1F3BB6B6">
      <w:pPr>
        <w:pStyle w:val="2"/>
        <w:numPr>
          <w:ilvl w:val="0"/>
          <w:numId w:val="0"/>
        </w:numPr>
        <w:rPr>
          <w:rFonts w:hint="default" w:eastAsia="宋体"/>
          <w:lang w:val="en-US" w:eastAsia="zh-CN"/>
        </w:rPr>
      </w:pPr>
      <w:r>
        <w:rPr>
          <w:rFonts w:hint="eastAsia" w:ascii="仿宋_GB2312" w:hAnsi="仿宋_GB2312" w:eastAsia="仿宋_GB2312" w:cs="Times New Roman"/>
          <w:sz w:val="32"/>
          <w:szCs w:val="21"/>
          <w:lang w:val="en-US" w:eastAsia="zh-CN"/>
        </w:rPr>
        <w:t>186822元。</w:t>
      </w:r>
    </w:p>
    <w:p w14:paraId="3EA45337">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14:paraId="7F2AE271">
      <w:pPr>
        <w:spacing w:line="360" w:lineRule="auto"/>
        <w:ind w:firstLine="640" w:firstLineChars="200"/>
      </w:pPr>
      <w:r>
        <w:rPr>
          <w:rFonts w:hint="eastAsia" w:ascii="仿宋_GB2312" w:hAnsi="仿宋_GB2312" w:eastAsia="仿宋_GB2312" w:cs="Times New Roman"/>
          <w:sz w:val="32"/>
          <w:szCs w:val="21"/>
        </w:rPr>
        <w:t>根据</w:t>
      </w:r>
      <w:r>
        <w:rPr>
          <w:rFonts w:hint="eastAsia" w:ascii="仿宋_GB2312" w:hAnsi="仿宋_GB2312" w:eastAsia="仿宋_GB2312" w:cs="Times New Roman"/>
          <w:sz w:val="32"/>
          <w:szCs w:val="21"/>
          <w:lang w:eastAsia="zh-CN"/>
        </w:rPr>
        <w:t>相关支付进度等文件</w:t>
      </w:r>
      <w:r>
        <w:rPr>
          <w:rFonts w:hint="eastAsia" w:ascii="仿宋_GB2312" w:hAnsi="仿宋_GB2312" w:eastAsia="仿宋_GB2312" w:cs="Times New Roman"/>
          <w:sz w:val="32"/>
          <w:szCs w:val="21"/>
        </w:rPr>
        <w:t>，</w:t>
      </w:r>
      <w:r>
        <w:rPr>
          <w:rFonts w:hint="eastAsia" w:ascii="仿宋_GB2312" w:hAnsi="仿宋_GB2312" w:eastAsia="仿宋_GB2312"/>
          <w:sz w:val="32"/>
          <w:szCs w:val="32"/>
        </w:rPr>
        <w:t>目前</w:t>
      </w:r>
      <w:r>
        <w:rPr>
          <w:rFonts w:hint="eastAsia" w:ascii="仿宋_GB2312" w:hAnsi="仿宋_GB2312" w:eastAsia="仿宋_GB2312" w:cs="Times New Roman"/>
          <w:sz w:val="32"/>
          <w:szCs w:val="21"/>
        </w:rPr>
        <w:t>乳源瑶族自治县2023-2025山塘水库除险加固工程</w:t>
      </w:r>
      <w:r>
        <w:rPr>
          <w:rFonts w:hint="eastAsia" w:ascii="仿宋_GB2312" w:hAnsi="仿宋_GB2312" w:eastAsia="仿宋_GB2312"/>
          <w:sz w:val="32"/>
          <w:szCs w:val="32"/>
        </w:rPr>
        <w:t>已</w:t>
      </w:r>
      <w:r>
        <w:rPr>
          <w:rFonts w:hint="eastAsia" w:ascii="仿宋_GB2312" w:hAnsi="仿宋_GB2312" w:eastAsia="仿宋_GB2312"/>
          <w:sz w:val="32"/>
          <w:szCs w:val="32"/>
          <w:lang w:eastAsia="zh-CN"/>
        </w:rPr>
        <w:t>足额完成支付任务</w:t>
      </w:r>
      <w:r>
        <w:rPr>
          <w:rFonts w:hint="eastAsia" w:ascii="仿宋_GB2312" w:hAnsi="仿宋_GB2312" w:eastAsia="仿宋_GB2312"/>
          <w:sz w:val="32"/>
          <w:szCs w:val="32"/>
        </w:rPr>
        <w:t>。</w:t>
      </w:r>
    </w:p>
    <w:p w14:paraId="2FFEA2C6">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14:paraId="30AE75A0">
      <w:pPr>
        <w:spacing w:line="360" w:lineRule="auto"/>
        <w:ind w:firstLine="420" w:firstLineChars="200"/>
        <w:rPr>
          <w:rFonts w:hint="default" w:eastAsia="宋体"/>
          <w:lang w:val="en-US" w:eastAsia="zh-CN"/>
        </w:rPr>
      </w:pPr>
      <w:r>
        <w:rPr>
          <w:rFonts w:hint="eastAsia" w:eastAsia="宋体"/>
          <w:lang w:val="en-US" w:eastAsia="zh-CN"/>
        </w:rPr>
        <w:t xml:space="preserve">  </w:t>
      </w:r>
      <w:r>
        <w:rPr>
          <w:rFonts w:hint="eastAsia" w:ascii="仿宋_GB2312" w:hAnsi="仿宋_GB2312" w:eastAsia="仿宋_GB2312" w:cs="Times New Roman"/>
          <w:sz w:val="32"/>
          <w:szCs w:val="21"/>
        </w:rPr>
        <w:t>本项目为</w:t>
      </w:r>
      <w:r>
        <w:rPr>
          <w:rFonts w:hint="eastAsia" w:ascii="仿宋_GB2312" w:hAnsi="仿宋_GB2312" w:eastAsia="仿宋_GB2312" w:cs="Times New Roman"/>
          <w:sz w:val="32"/>
          <w:szCs w:val="21"/>
          <w:lang w:eastAsia="zh-CN"/>
        </w:rPr>
        <w:t>工程建设及防洪评价报告编制</w:t>
      </w:r>
      <w:r>
        <w:rPr>
          <w:rFonts w:hint="eastAsia" w:ascii="仿宋_GB2312" w:hAnsi="仿宋_GB2312" w:eastAsia="仿宋_GB2312" w:cs="Times New Roman"/>
          <w:sz w:val="32"/>
          <w:szCs w:val="21"/>
        </w:rPr>
        <w:t>项目，</w:t>
      </w:r>
      <w:r>
        <w:rPr>
          <w:rFonts w:hint="eastAsia" w:ascii="仿宋_GB2312" w:hAnsi="仿宋_GB2312" w:eastAsia="仿宋_GB2312" w:cs="Times New Roman"/>
          <w:sz w:val="32"/>
          <w:szCs w:val="21"/>
          <w:lang w:eastAsia="zh-CN"/>
        </w:rPr>
        <w:t>工程建设项目</w:t>
      </w:r>
      <w:r>
        <w:rPr>
          <w:rFonts w:hint="eastAsia" w:ascii="仿宋_GB2312" w:eastAsia="仿宋_GB2312"/>
          <w:sz w:val="32"/>
          <w:szCs w:val="32"/>
          <w:lang w:eastAsia="zh-CN"/>
        </w:rPr>
        <w:t>保障区域防洪安全和粮食安全，兼顾河流生态环境、自然景观，在保障河道行洪安全的前提下，兼顾改善河流生态环境；双口灌区改造</w:t>
      </w:r>
      <w:r>
        <w:rPr>
          <w:rFonts w:hint="eastAsia" w:ascii="仿宋_GB2312" w:eastAsia="仿宋_GB2312"/>
          <w:sz w:val="32"/>
          <w:szCs w:val="32"/>
          <w:lang w:val="en-US" w:eastAsia="zh-CN"/>
        </w:rPr>
        <w:t>双口灌区改造发挥灌区工程应有的效益，保障灌区农业高产、稳产，形成良性循环，稳定灌区管理职工队伍；防洪评价报告编制项目在河道管理范围内建设跨河、穿河、穿堤、临河的桥梁、码头、道路、渡口、管道、缆线、取水、排水、公共休闲、景观等工程设施，应当符合防洪标准以及有关技术要求，不得影响河势稳定、危害堤防安全，为后续防洪技术工作提供技术审批，为防洪工作提供理论依据能力有所提升。</w:t>
      </w:r>
    </w:p>
    <w:p w14:paraId="7EDBF404">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14:paraId="0411DB28">
      <w:pPr>
        <w:pStyle w:val="2"/>
        <w:numPr>
          <w:ilvl w:val="0"/>
          <w:numId w:val="0"/>
        </w:numPr>
        <w:rPr>
          <w:rFonts w:hint="default" w:eastAsia="宋体"/>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 xml:space="preserve">    无</w:t>
      </w:r>
    </w:p>
    <w:p w14:paraId="352D8062">
      <w:pPr>
        <w:spacing w:line="360" w:lineRule="auto"/>
        <w:ind w:firstLine="640" w:firstLineChars="200"/>
        <w:rPr>
          <w:rFonts w:ascii="黑体" w:eastAsia="黑体"/>
          <w:sz w:val="32"/>
          <w:szCs w:val="32"/>
        </w:rPr>
      </w:pPr>
      <w:r>
        <w:rPr>
          <w:rFonts w:hint="eastAsia" w:ascii="黑体" w:eastAsia="黑体"/>
          <w:sz w:val="32"/>
          <w:szCs w:val="32"/>
        </w:rPr>
        <w:t>三、改进意见</w:t>
      </w:r>
    </w:p>
    <w:p w14:paraId="7C80A56D">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E8F5EFD">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14:paraId="3E2C959D">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01475"/>
    <w:multiLevelType w:val="singleLevel"/>
    <w:tmpl w:val="C5801475"/>
    <w:lvl w:ilvl="0" w:tentative="0">
      <w:start w:val="2"/>
      <w:numFmt w:val="chineseCounting"/>
      <w:suff w:val="nothing"/>
      <w:lvlText w:val="（%1）"/>
      <w:lvlJc w:val="left"/>
      <w:rPr>
        <w:rFonts w:hint="eastAsia"/>
      </w:rPr>
    </w:lvl>
  </w:abstractNum>
  <w:abstractNum w:abstractNumId="1">
    <w:nsid w:val="E0A353E8"/>
    <w:multiLevelType w:val="singleLevel"/>
    <w:tmpl w:val="E0A353E8"/>
    <w:lvl w:ilvl="0" w:tentative="0">
      <w:start w:val="2"/>
      <w:numFmt w:val="decimal"/>
      <w:suff w:val="nothing"/>
      <w:lvlText w:val="%1、"/>
      <w:lvlJc w:val="left"/>
    </w:lvl>
  </w:abstractNum>
  <w:abstractNum w:abstractNumId="2">
    <w:nsid w:val="E8B24E64"/>
    <w:multiLevelType w:val="singleLevel"/>
    <w:tmpl w:val="E8B24E64"/>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xYmJmOTFlZmFjMzdlMWVhOTEzMWYxZTFlYTM3Mj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760574F"/>
    <w:rsid w:val="27980761"/>
    <w:rsid w:val="2A0C3112"/>
    <w:rsid w:val="39921607"/>
    <w:rsid w:val="468762A1"/>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customStyle="1" w:styleId="9">
    <w:name w:val="正文（LRB）"/>
    <w:uiPriority w:val="0"/>
    <w:pPr>
      <w:spacing w:line="480" w:lineRule="auto"/>
      <w:ind w:firstLine="200" w:firstLineChars="200"/>
      <w:jc w:val="both"/>
    </w:pPr>
    <w:rPr>
      <w:rFonts w:ascii="宋体" w:hAnsi="Times New Roman"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2754</Words>
  <Characters>2871</Characters>
  <Lines>1</Lines>
  <Paragraphs>1</Paragraphs>
  <TotalTime>0</TotalTime>
  <ScaleCrop>false</ScaleCrop>
  <LinksUpToDate>false</LinksUpToDate>
  <CharactersWithSpaces>2898</CharactersWithSpaces>
  <Application>WPS Office_12.1.0.17121_F1E327BC-269C-435d-A152-05C5408002CA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Astra。</cp:lastModifiedBy>
  <cp:lastPrinted>2018-10-25T10:57:00Z</cp:lastPrinted>
  <dcterms:modified xsi:type="dcterms:W3CDTF">2024-05-29T07:51:22Z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2052-12.1.0.17121</vt:lpwstr>
  </property>
  <property fmtid="{D5CDD505-2E9C-101B-9397-08002B2CF9AE}" pid="3" name="ICV">
    <vt:lpwstr>FA9FAD6EBB306F60FB6FD565C6D382F8</vt:lpwstr>
  </property>
</Properties>
</file>