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灌溉水利用系数测算费用财政项目支出绩效自评报告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sz w:val="32"/>
          <w:szCs w:val="32"/>
        </w:rPr>
        <w:t>水务局是县人民政府工作部门，县水务局设</w:t>
      </w:r>
      <w:r>
        <w:rPr>
          <w:rFonts w:hint="eastAsia" w:ascii="仿宋_GB2312" w:eastAsia="仿宋_GB2312"/>
          <w:sz w:val="32"/>
          <w:szCs w:val="32"/>
          <w:lang w:val="en-US" w:eastAsia="zh-CN"/>
        </w:rPr>
        <w:t>9</w:t>
      </w:r>
      <w:r>
        <w:rPr>
          <w:rFonts w:hint="eastAsia" w:ascii="仿宋_GB2312" w:eastAsia="仿宋_GB2312"/>
          <w:sz w:val="32"/>
          <w:szCs w:val="32"/>
        </w:rPr>
        <w:t>个内设机构：办公室、财务审计股、</w:t>
      </w:r>
      <w:r>
        <w:rPr>
          <w:rFonts w:hint="eastAsia" w:ascii="仿宋_GB2312" w:eastAsia="仿宋_GB2312"/>
          <w:sz w:val="32"/>
          <w:szCs w:val="32"/>
          <w:lang w:eastAsia="zh-CN"/>
        </w:rPr>
        <w:t>规划建设</w:t>
      </w:r>
      <w:r>
        <w:rPr>
          <w:rFonts w:hint="eastAsia" w:ascii="仿宋_GB2312" w:eastAsia="仿宋_GB2312"/>
          <w:sz w:val="32"/>
          <w:szCs w:val="32"/>
        </w:rPr>
        <w:t>管理股、</w:t>
      </w:r>
      <w:r>
        <w:rPr>
          <w:rFonts w:hint="eastAsia" w:ascii="仿宋_GB2312" w:eastAsia="仿宋_GB2312"/>
          <w:sz w:val="32"/>
          <w:szCs w:val="32"/>
          <w:lang w:eastAsia="zh-CN"/>
        </w:rPr>
        <w:t>河湖管理与调度防御股（河长办）、农村水电股、</w:t>
      </w:r>
      <w:r>
        <w:rPr>
          <w:rFonts w:hint="eastAsia" w:ascii="仿宋_GB2312" w:eastAsia="仿宋_GB2312"/>
          <w:sz w:val="32"/>
          <w:szCs w:val="32"/>
        </w:rPr>
        <w:t>水库移民办公室、水政监察大队</w:t>
      </w:r>
      <w:r>
        <w:rPr>
          <w:rFonts w:hint="eastAsia" w:ascii="仿宋_GB2312" w:eastAsia="仿宋_GB2312"/>
          <w:sz w:val="32"/>
          <w:szCs w:val="32"/>
          <w:lang w:eastAsia="zh-CN"/>
        </w:rPr>
        <w:t>、水利水保建设事务中心</w:t>
      </w:r>
      <w:r>
        <w:rPr>
          <w:rFonts w:hint="eastAsia" w:ascii="仿宋_GB2312" w:eastAsia="仿宋_GB2312"/>
          <w:sz w:val="32"/>
          <w:szCs w:val="32"/>
        </w:rPr>
        <w:t>、机电排灌总站、下辖引杨水利管理所、大桥</w:t>
      </w:r>
      <w:r>
        <w:rPr>
          <w:rFonts w:hint="eastAsia" w:ascii="仿宋_GB2312" w:eastAsia="仿宋_GB2312"/>
          <w:sz w:val="32"/>
          <w:szCs w:val="32"/>
          <w:lang w:eastAsia="zh-CN"/>
        </w:rPr>
        <w:t>中心水利管理所、双口水利管理所</w:t>
      </w:r>
      <w:r>
        <w:rPr>
          <w:rFonts w:hint="eastAsia" w:ascii="仿宋_GB2312" w:eastAsia="仿宋_GB2312"/>
          <w:sz w:val="32"/>
          <w:szCs w:val="32"/>
          <w:lang w:val="en-US" w:eastAsia="zh-CN"/>
        </w:rPr>
        <w:t>3</w:t>
      </w:r>
      <w:r>
        <w:rPr>
          <w:rFonts w:hint="eastAsia" w:ascii="仿宋_GB2312" w:eastAsia="仿宋_GB2312"/>
          <w:sz w:val="32"/>
          <w:szCs w:val="32"/>
          <w:lang w:eastAsia="zh-CN"/>
        </w:rPr>
        <w:t>个事业单位</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按照水利部《全国农田灌溉水有效利用系数测算分析技术指导细则》的要求，乳源瑶族自治县双口灌区、引杨灌区、岭溪灌区和七星墩灌区作为样点灌区。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项目实施主要内容</w:t>
      </w:r>
      <w:r>
        <w:rPr>
          <w:rFonts w:hint="eastAsia" w:ascii="仿宋_GB2312" w:eastAsia="仿宋_GB2312"/>
          <w:sz w:val="32"/>
          <w:szCs w:val="32"/>
          <w:lang w:eastAsia="zh-CN"/>
        </w:rPr>
        <w:t>：</w:t>
      </w:r>
      <w:r>
        <w:rPr>
          <w:rFonts w:hint="eastAsia" w:ascii="仿宋_GB2312" w:eastAsia="仿宋_GB2312"/>
          <w:sz w:val="32"/>
          <w:szCs w:val="32"/>
          <w:lang w:val="en-US" w:eastAsia="zh-CN"/>
        </w:rPr>
        <w:t>确保技术路线合理，测算方法科学可行。严格按照水利部《全国农田灌溉水有效利用系数测算分析技术指导细则》的要求，选取典型样点灌区，通过收集样点灌区的基础资料和监测点的监测资料，统一采用“首尾测算分析法”进行农田灌溉水有效利用系数的测算工作。</w:t>
      </w:r>
    </w:p>
    <w:p>
      <w:pPr>
        <w:spacing w:line="360" w:lineRule="auto"/>
        <w:ind w:firstLine="640" w:firstLineChars="200"/>
        <w:rPr>
          <w:rFonts w:hint="eastAsia" w:ascii="仿宋_GB2312" w:eastAsia="仿宋_GB2312"/>
          <w:color w:val="000000" w:themeColor="text1"/>
          <w:sz w:val="32"/>
          <w:szCs w:val="32"/>
        </w:rPr>
      </w:pPr>
      <w:r>
        <w:rPr>
          <w:rFonts w:hint="eastAsia" w:ascii="仿宋_GB2312" w:eastAsia="仿宋_GB2312"/>
          <w:sz w:val="32"/>
          <w:szCs w:val="32"/>
        </w:rPr>
        <w:t>项目实施程序</w:t>
      </w:r>
      <w:r>
        <w:rPr>
          <w:rFonts w:hint="eastAsia" w:ascii="仿宋_GB2312" w:eastAsia="仿宋_GB2312"/>
          <w:sz w:val="32"/>
          <w:szCs w:val="32"/>
          <w:lang w:eastAsia="zh-CN"/>
        </w:rPr>
        <w:t>：</w:t>
      </w:r>
      <w:r>
        <w:rPr>
          <w:rFonts w:hint="eastAsia" w:ascii="仿宋_GB2312" w:eastAsia="仿宋_GB2312"/>
          <w:color w:val="000000" w:themeColor="text1"/>
          <w:sz w:val="32"/>
          <w:szCs w:val="32"/>
          <w:lang w:val="en-US" w:eastAsia="zh-CN"/>
        </w:rPr>
        <w:t xml:space="preserve">农田灌溉水有效利用系数测算分析工作由乳源瑶族自治县水务局组织领导，工作牵头单位为乳源瑶族自治县水务局，由广东中水勘测规划设计研究有限公司作为技术支撑，全面负责样点灌区开展测算技术指导工作，提出测算分析工作方案、技术方案及相关调查表格，做好测算工作布置、人员培训和指导技术工作，及时解决测算过程出现的各种问题并向上级部门反馈，汇总分析所测的材料，编制农田灌溉水有效利用系数测算分析成果报告。样点灌区管理单位和水利所、村委会等作为基础数据来源支撑单位，密切配合，共同参与完成。 </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本项目我局自评得分</w:t>
      </w:r>
      <w:r>
        <w:rPr>
          <w:rFonts w:hint="eastAsia" w:ascii="仿宋_GB2312" w:eastAsia="仿宋_GB2312"/>
          <w:sz w:val="32"/>
          <w:szCs w:val="32"/>
          <w:lang w:val="en-US" w:eastAsia="zh-CN"/>
        </w:rPr>
        <w:t>100</w:t>
      </w:r>
      <w:r>
        <w:rPr>
          <w:rFonts w:hint="eastAsia" w:ascii="仿宋_GB2312" w:eastAsia="仿宋_GB2312"/>
          <w:sz w:val="32"/>
          <w:szCs w:val="32"/>
        </w:rPr>
        <w:t>分。</w:t>
      </w:r>
    </w:p>
    <w:p>
      <w:pPr>
        <w:spacing w:line="360" w:lineRule="auto"/>
        <w:ind w:firstLine="643" w:firstLineChars="200"/>
        <w:rPr>
          <w:rFonts w:hint="eastAsia" w:ascii="仿宋_GB2312" w:hAnsi="Times New Roman" w:eastAsia="仿宋_GB2312" w:cs="Times New Roman"/>
          <w:color w:val="FF0000"/>
          <w:sz w:val="32"/>
          <w:szCs w:val="32"/>
        </w:rPr>
      </w:pPr>
      <w:r>
        <w:rPr>
          <w:rFonts w:hint="eastAsia" w:ascii="仿宋_GB2312" w:eastAsia="仿宋_GB2312" w:cs="Times New Roman"/>
          <w:b/>
          <w:bCs/>
          <w:color w:val="000000" w:themeColor="text1"/>
          <w:sz w:val="32"/>
          <w:szCs w:val="32"/>
          <w:lang w:eastAsia="zh-CN"/>
        </w:rPr>
        <w:t>一是项目投入阶段，投入阶段总得分</w:t>
      </w:r>
      <w:r>
        <w:rPr>
          <w:rFonts w:hint="eastAsia" w:ascii="仿宋_GB2312" w:eastAsia="仿宋_GB2312" w:cs="Times New Roman"/>
          <w:b/>
          <w:bCs/>
          <w:color w:val="000000" w:themeColor="text1"/>
          <w:sz w:val="32"/>
          <w:szCs w:val="32"/>
          <w:lang w:val="en-US" w:eastAsia="zh-CN"/>
        </w:rPr>
        <w:t>20分，自评得分20分。</w:t>
      </w:r>
      <w:r>
        <w:rPr>
          <w:rFonts w:hint="eastAsia" w:ascii="仿宋_GB2312" w:hAnsi="Times New Roman" w:eastAsia="仿宋_GB2312" w:cs="Times New Roman"/>
          <w:color w:val="000000" w:themeColor="text1"/>
          <w:sz w:val="32"/>
          <w:szCs w:val="32"/>
        </w:rPr>
        <w:t>首先项目的</w:t>
      </w:r>
      <w:r>
        <w:rPr>
          <w:rFonts w:hint="eastAsia" w:ascii="仿宋_GB2312" w:eastAsia="仿宋_GB2312" w:cs="Times New Roman"/>
          <w:color w:val="000000" w:themeColor="text1"/>
          <w:sz w:val="32"/>
          <w:szCs w:val="32"/>
          <w:lang w:eastAsia="zh-CN"/>
        </w:rPr>
        <w:t>投入是为了实施农田灌溉水有效利用系数测算工作</w:t>
      </w:r>
      <w:r>
        <w:rPr>
          <w:rFonts w:hint="eastAsia" w:ascii="仿宋_GB2312" w:eastAsia="仿宋_GB2312"/>
          <w:color w:val="000000" w:themeColor="text1"/>
          <w:sz w:val="32"/>
          <w:szCs w:val="32"/>
          <w:lang w:eastAsia="zh-CN"/>
        </w:rPr>
        <w:t>。</w:t>
      </w:r>
      <w:r>
        <w:rPr>
          <w:rFonts w:hint="eastAsia" w:ascii="仿宋_GB2312" w:hAnsi="Times New Roman" w:eastAsia="仿宋_GB2312" w:cs="Times New Roman"/>
          <w:color w:val="000000" w:themeColor="text1"/>
          <w:sz w:val="32"/>
          <w:szCs w:val="32"/>
        </w:rPr>
        <w:t>经费落实的项目是遵照法律法规的要求</w:t>
      </w:r>
      <w:r>
        <w:rPr>
          <w:rFonts w:hint="eastAsia" w:ascii="仿宋_GB2312" w:hAnsi="Times New Roman" w:eastAsia="仿宋_GB2312" w:cs="Times New Roman"/>
          <w:color w:val="000000" w:themeColor="text1"/>
          <w:sz w:val="32"/>
          <w:szCs w:val="32"/>
          <w:lang w:val="en-US" w:eastAsia="zh-CN"/>
        </w:rPr>
        <w:t>进行</w:t>
      </w:r>
      <w:r>
        <w:rPr>
          <w:rFonts w:hint="eastAsia" w:ascii="仿宋_GB2312" w:hAnsi="Times New Roman" w:eastAsia="仿宋_GB2312" w:cs="Times New Roman"/>
          <w:color w:val="000000" w:themeColor="text1"/>
          <w:sz w:val="32"/>
          <w:szCs w:val="32"/>
        </w:rPr>
        <w:t>开展，</w:t>
      </w:r>
      <w:r>
        <w:rPr>
          <w:rFonts w:hint="eastAsia" w:ascii="仿宋_GB2312" w:eastAsia="仿宋_GB2312" w:cs="Times New Roman"/>
          <w:color w:val="000000" w:themeColor="text1"/>
          <w:sz w:val="32"/>
          <w:szCs w:val="32"/>
          <w:lang w:eastAsia="zh-CN"/>
        </w:rPr>
        <w:t>部门预算</w:t>
      </w:r>
      <w:r>
        <w:rPr>
          <w:rFonts w:hint="eastAsia" w:ascii="仿宋_GB2312" w:hAnsi="Times New Roman" w:eastAsia="仿宋_GB2312" w:cs="Times New Roman"/>
          <w:color w:val="000000" w:themeColor="text1"/>
          <w:sz w:val="32"/>
          <w:szCs w:val="32"/>
        </w:rPr>
        <w:t>申请通过了县政府和县财政局批准，并严格按照预算实行招标控制，开展前期摸底调查工作</w:t>
      </w:r>
      <w:r>
        <w:rPr>
          <w:rFonts w:hint="eastAsia" w:ascii="仿宋_GB2312" w:hAnsi="Times New Roman" w:eastAsia="仿宋_GB2312" w:cs="Times New Roman"/>
          <w:color w:val="000000" w:themeColor="text1"/>
          <w:sz w:val="32"/>
          <w:szCs w:val="32"/>
          <w:lang w:eastAsia="zh-CN"/>
        </w:rPr>
        <w:t>，</w:t>
      </w:r>
      <w:r>
        <w:rPr>
          <w:rFonts w:hint="eastAsia" w:ascii="仿宋_GB2312" w:eastAsia="仿宋_GB2312" w:cs="Times New Roman"/>
          <w:color w:val="000000" w:themeColor="text1"/>
          <w:sz w:val="32"/>
          <w:szCs w:val="32"/>
          <w:lang w:eastAsia="zh-CN"/>
        </w:rPr>
        <w:t>并经局领导班子会议讨论，论证充分，项目得</w:t>
      </w:r>
      <w:r>
        <w:rPr>
          <w:rFonts w:hint="eastAsia" w:ascii="仿宋_GB2312" w:eastAsia="仿宋_GB2312" w:cs="Times New Roman"/>
          <w:color w:val="000000" w:themeColor="text1"/>
          <w:sz w:val="32"/>
          <w:szCs w:val="32"/>
          <w:lang w:val="en-US" w:eastAsia="zh-CN"/>
        </w:rPr>
        <w:t>4分；</w:t>
      </w:r>
      <w:r>
        <w:rPr>
          <w:rFonts w:hint="eastAsia" w:ascii="仿宋_GB2312" w:eastAsia="仿宋_GB2312" w:cs="Times New Roman"/>
          <w:color w:val="000000" w:themeColor="text1"/>
          <w:sz w:val="32"/>
          <w:szCs w:val="32"/>
          <w:lang w:eastAsia="zh-CN"/>
        </w:rPr>
        <w:t>项目依据相关基础信息和证据判断目标设置的完整性，据此核定分数，得</w:t>
      </w:r>
      <w:r>
        <w:rPr>
          <w:rFonts w:hint="eastAsia" w:ascii="仿宋_GB2312" w:eastAsia="仿宋_GB2312" w:cs="Times New Roman"/>
          <w:color w:val="000000" w:themeColor="text1"/>
          <w:sz w:val="32"/>
          <w:szCs w:val="32"/>
          <w:lang w:val="en-US" w:eastAsia="zh-CN"/>
        </w:rPr>
        <w:t>2分；项目绩效目标与资金或项目属性特点、支出内容相关，项目合理性充分，得2分；项目绩效目标设置是否有数据支撑、是否有可衡量性的产出和效果指标，得2分。项目绩效目标设置是有数据支撑、可衡量性的产出和效果指标，得2分；项目依据相关基础信息和证据判断制度完整性具备条件实施，得1分；项目依据工作进度计划等相关基础信息和证据判断，得1分。该项目资金到位率、资金到位及时性、资金分配合理性均达到100%，即项目投入模块指标</w:t>
      </w:r>
      <w:r>
        <w:rPr>
          <w:rFonts w:hint="eastAsia" w:ascii="仿宋_GB2312" w:hAnsi="Times New Roman" w:eastAsia="仿宋_GB2312" w:cs="Times New Roman"/>
          <w:color w:val="000000" w:themeColor="text1"/>
          <w:sz w:val="32"/>
          <w:szCs w:val="32"/>
        </w:rPr>
        <w:t>总分</w:t>
      </w:r>
      <w:r>
        <w:rPr>
          <w:rFonts w:hint="eastAsia" w:ascii="仿宋_GB2312" w:eastAsia="仿宋_GB2312" w:cs="Times New Roman"/>
          <w:color w:val="000000" w:themeColor="text1"/>
          <w:sz w:val="32"/>
          <w:szCs w:val="32"/>
          <w:lang w:val="en-US" w:eastAsia="zh-CN"/>
        </w:rPr>
        <w:t>20</w:t>
      </w:r>
      <w:r>
        <w:rPr>
          <w:rFonts w:hint="eastAsia" w:ascii="仿宋_GB2312" w:hAnsi="Times New Roman" w:eastAsia="仿宋_GB2312" w:cs="Times New Roman"/>
          <w:color w:val="000000" w:themeColor="text1"/>
          <w:sz w:val="32"/>
          <w:szCs w:val="32"/>
        </w:rPr>
        <w:t>分，自评分</w:t>
      </w:r>
      <w:r>
        <w:rPr>
          <w:rFonts w:hint="eastAsia" w:ascii="仿宋_GB2312" w:eastAsia="仿宋_GB2312" w:cs="Times New Roman"/>
          <w:color w:val="000000" w:themeColor="text1"/>
          <w:sz w:val="32"/>
          <w:szCs w:val="32"/>
          <w:lang w:val="en-US" w:eastAsia="zh-CN"/>
        </w:rPr>
        <w:t>20</w:t>
      </w:r>
      <w:r>
        <w:rPr>
          <w:rFonts w:hint="eastAsia" w:ascii="仿宋_GB2312" w:hAnsi="Times New Roman" w:eastAsia="仿宋_GB2312" w:cs="Times New Roman"/>
          <w:color w:val="000000" w:themeColor="text1"/>
          <w:sz w:val="32"/>
          <w:szCs w:val="32"/>
        </w:rPr>
        <w:t>分。</w:t>
      </w:r>
    </w:p>
    <w:p>
      <w:pPr>
        <w:spacing w:line="360" w:lineRule="auto"/>
        <w:ind w:firstLine="643" w:firstLineChars="200"/>
        <w:rPr>
          <w:rFonts w:hint="eastAsia" w:ascii="仿宋_GB2312" w:eastAsia="仿宋_GB2312" w:cs="Times New Roman"/>
          <w:color w:val="000000" w:themeColor="text1"/>
          <w:sz w:val="32"/>
          <w:szCs w:val="32"/>
          <w:lang w:val="en-US" w:eastAsia="zh-CN"/>
        </w:rPr>
      </w:pPr>
      <w:r>
        <w:rPr>
          <w:rFonts w:hint="eastAsia" w:ascii="仿宋_GB2312" w:eastAsia="仿宋_GB2312" w:cs="Times New Roman"/>
          <w:b/>
          <w:bCs/>
          <w:color w:val="000000" w:themeColor="text1"/>
          <w:sz w:val="32"/>
          <w:szCs w:val="32"/>
          <w:lang w:eastAsia="zh-CN"/>
        </w:rPr>
        <w:t>二是项目过程模块，该模块总得分</w:t>
      </w:r>
      <w:r>
        <w:rPr>
          <w:rFonts w:hint="eastAsia" w:ascii="仿宋_GB2312" w:eastAsia="仿宋_GB2312" w:cs="Times New Roman"/>
          <w:b/>
          <w:bCs/>
          <w:color w:val="000000" w:themeColor="text1"/>
          <w:sz w:val="32"/>
          <w:szCs w:val="32"/>
          <w:lang w:val="en-US" w:eastAsia="zh-CN"/>
        </w:rPr>
        <w:t>20分，自评得分20分。</w:t>
      </w:r>
      <w:r>
        <w:rPr>
          <w:rFonts w:hint="eastAsia" w:ascii="仿宋_GB2312" w:eastAsia="仿宋_GB2312" w:cs="Times New Roman"/>
          <w:color w:val="000000" w:themeColor="text1"/>
          <w:sz w:val="32"/>
          <w:szCs w:val="32"/>
          <w:lang w:eastAsia="zh-CN"/>
        </w:rPr>
        <w:t>对于资金支出率，项目于</w:t>
      </w:r>
      <w:r>
        <w:rPr>
          <w:rFonts w:hint="eastAsia" w:ascii="仿宋_GB2312" w:eastAsia="仿宋_GB2312" w:cs="Times New Roman"/>
          <w:color w:val="000000" w:themeColor="text1"/>
          <w:sz w:val="32"/>
          <w:szCs w:val="32"/>
          <w:lang w:val="en-US" w:eastAsia="zh-CN"/>
        </w:rPr>
        <w:t>2023年底完成支付10万元，完成支付率100%，此项资金支付支出率达标率为100%，得6分。该项目按规定履行报批手续，且按事项完成进度支付资金，事项支出合规，资金管理、费用标准、支付符合有关制度规定，得6分。项目按规定履行报批手续，项目招投标、建设、验收等，方案实施严格执行相关制度规定，得4分。项目资金使用单位资金管理单位建立有效管理，执行情况良好；业务主管部门按规定对项目建设或方案实施开展有效的检查、监控、督促整改，得4分。</w:t>
      </w:r>
    </w:p>
    <w:p>
      <w:pPr>
        <w:spacing w:line="360" w:lineRule="auto"/>
        <w:ind w:firstLine="643" w:firstLineChars="200"/>
        <w:rPr>
          <w:rFonts w:hint="default" w:ascii="仿宋_GB2312" w:hAnsi="Times New Roman" w:eastAsia="仿宋_GB2312" w:cs="Times New Roman"/>
          <w:color w:val="000000" w:themeColor="text1"/>
          <w:sz w:val="32"/>
          <w:szCs w:val="32"/>
          <w:lang w:val="en-US" w:eastAsia="zh-CN"/>
        </w:rPr>
      </w:pPr>
      <w:r>
        <w:rPr>
          <w:rFonts w:hint="eastAsia" w:ascii="仿宋_GB2312" w:eastAsia="仿宋_GB2312" w:cs="Times New Roman"/>
          <w:b/>
          <w:bCs/>
          <w:color w:val="000000" w:themeColor="text1"/>
          <w:sz w:val="32"/>
          <w:szCs w:val="32"/>
          <w:lang w:eastAsia="zh-CN"/>
        </w:rPr>
        <w:t>三是项目产出模块，该模块得分</w:t>
      </w:r>
      <w:r>
        <w:rPr>
          <w:rFonts w:hint="eastAsia" w:ascii="仿宋_GB2312" w:eastAsia="仿宋_GB2312" w:cs="Times New Roman"/>
          <w:b/>
          <w:bCs/>
          <w:color w:val="000000" w:themeColor="text1"/>
          <w:sz w:val="32"/>
          <w:szCs w:val="32"/>
          <w:lang w:val="en-US" w:eastAsia="zh-CN"/>
        </w:rPr>
        <w:t>30分，自评得分30分</w:t>
      </w:r>
      <w:r>
        <w:rPr>
          <w:rFonts w:hint="eastAsia" w:ascii="仿宋_GB2312" w:eastAsia="仿宋_GB2312" w:cs="Times New Roman"/>
          <w:color w:val="000000" w:themeColor="text1"/>
          <w:sz w:val="32"/>
          <w:szCs w:val="32"/>
          <w:lang w:val="en-US" w:eastAsia="zh-CN"/>
        </w:rPr>
        <w:t>。该项目在预算执行进度与事项完成进度基本匹配，实际支出未超过预算计划的，项目预算控制得3分。该项目在与同类项目或市场价格比较，项目实施的成本（包括工程造价、物品采购单价、人员经费等）属于合理范围的，项</w:t>
      </w:r>
      <w:r>
        <w:rPr>
          <w:rFonts w:hint="eastAsia" w:ascii="仿宋_GB2312" w:hAnsi="Times New Roman" w:eastAsia="仿宋_GB2312" w:cs="Times New Roman"/>
          <w:color w:val="000000" w:themeColor="text1"/>
          <w:sz w:val="32"/>
          <w:szCs w:val="32"/>
          <w:lang w:val="en-US" w:eastAsia="zh-CN"/>
        </w:rPr>
        <w:t xml:space="preserve">目成本控制得分2分，项目经济性小计得5分。该项目完成岭溪灌区、七星墩灌区、双口灌区样点灌区，包括中型灌区和小型灌区，其中中型灌区划分上游和下游 </w:t>
      </w:r>
      <w:r>
        <w:rPr>
          <w:rFonts w:hint="default" w:ascii="仿宋_GB2312" w:hAnsi="Times New Roman" w:eastAsia="仿宋_GB2312" w:cs="Times New Roman"/>
          <w:color w:val="000000" w:themeColor="text1"/>
          <w:sz w:val="32"/>
          <w:szCs w:val="32"/>
          <w:lang w:val="en-US" w:eastAsia="zh-CN"/>
        </w:rPr>
        <w:t xml:space="preserve">2 </w:t>
      </w:r>
      <w:r>
        <w:rPr>
          <w:rFonts w:hint="eastAsia" w:ascii="仿宋_GB2312" w:hAnsi="Times New Roman" w:eastAsia="仿宋_GB2312" w:cs="Times New Roman"/>
          <w:color w:val="000000" w:themeColor="text1"/>
          <w:sz w:val="32"/>
          <w:szCs w:val="32"/>
          <w:lang w:val="en-US" w:eastAsia="zh-CN"/>
        </w:rPr>
        <w:t xml:space="preserve">个片区，每种作物选择 </w:t>
      </w:r>
      <w:r>
        <w:rPr>
          <w:rFonts w:hint="default" w:ascii="仿宋_GB2312" w:hAnsi="Times New Roman" w:eastAsia="仿宋_GB2312" w:cs="Times New Roman"/>
          <w:color w:val="000000" w:themeColor="text1"/>
          <w:sz w:val="32"/>
          <w:szCs w:val="32"/>
          <w:lang w:val="en-US" w:eastAsia="zh-CN"/>
        </w:rPr>
        <w:t xml:space="preserve">3 </w:t>
      </w:r>
      <w:r>
        <w:rPr>
          <w:rFonts w:hint="eastAsia" w:ascii="仿宋_GB2312" w:hAnsi="Times New Roman" w:eastAsia="仿宋_GB2312" w:cs="Times New Roman"/>
          <w:color w:val="000000" w:themeColor="text1"/>
          <w:sz w:val="32"/>
          <w:szCs w:val="32"/>
          <w:lang w:val="en-US" w:eastAsia="zh-CN"/>
        </w:rPr>
        <w:t xml:space="preserve">个典型田块；小型灌区不划分片区，每种作物类型选择 </w:t>
      </w:r>
      <w:r>
        <w:rPr>
          <w:rFonts w:hint="default" w:ascii="仿宋_GB2312" w:hAnsi="Times New Roman" w:eastAsia="仿宋_GB2312" w:cs="Times New Roman"/>
          <w:color w:val="000000" w:themeColor="text1"/>
          <w:sz w:val="32"/>
          <w:szCs w:val="32"/>
          <w:lang w:val="en-US" w:eastAsia="zh-CN"/>
        </w:rPr>
        <w:t xml:space="preserve">2 </w:t>
      </w:r>
      <w:r>
        <w:rPr>
          <w:rFonts w:hint="eastAsia" w:ascii="仿宋_GB2312" w:hAnsi="Times New Roman" w:eastAsia="仿宋_GB2312" w:cs="Times New Roman"/>
          <w:color w:val="000000" w:themeColor="text1"/>
          <w:sz w:val="32"/>
          <w:szCs w:val="32"/>
          <w:lang w:val="en-US" w:eastAsia="zh-CN"/>
        </w:rPr>
        <w:t>个典型田块。完成典型田块30个，分别岭溪灌区3个田块，田块灌溉31亩，灌溉面积1498亩，净灌溉水量63.3731万m</w:t>
      </w:r>
      <w:r>
        <w:rPr>
          <w:rFonts w:hint="eastAsia" w:ascii="仿宋_GB2312" w:hAnsi="Times New Roman" w:eastAsia="仿宋_GB2312" w:cs="Times New Roman"/>
          <w:color w:val="000000" w:themeColor="text1"/>
          <w:sz w:val="32"/>
          <w:szCs w:val="32"/>
          <w:vertAlign w:val="superscript"/>
          <w:lang w:val="en-US" w:eastAsia="zh-CN"/>
        </w:rPr>
        <w:t>3</w:t>
      </w:r>
      <w:r>
        <w:rPr>
          <w:rFonts w:hint="eastAsia" w:ascii="仿宋_GB2312" w:hAnsi="Times New Roman" w:eastAsia="仿宋_GB2312" w:cs="Times New Roman"/>
          <w:color w:val="000000" w:themeColor="text1"/>
          <w:sz w:val="32"/>
          <w:szCs w:val="32"/>
          <w:lang w:val="en-US" w:eastAsia="zh-CN"/>
        </w:rPr>
        <w:t>；七星墩灌区3个田块，田块灌溉34亩,灌溉面积1300亩，净灌溉水量37.1691万m</w:t>
      </w:r>
      <w:r>
        <w:rPr>
          <w:rFonts w:hint="eastAsia" w:ascii="仿宋_GB2312" w:hAnsi="Times New Roman" w:eastAsia="仿宋_GB2312" w:cs="Times New Roman"/>
          <w:color w:val="000000" w:themeColor="text1"/>
          <w:sz w:val="32"/>
          <w:szCs w:val="32"/>
          <w:vertAlign w:val="superscript"/>
          <w:lang w:val="en-US" w:eastAsia="zh-CN"/>
        </w:rPr>
        <w:t>3</w:t>
      </w:r>
      <w:r>
        <w:rPr>
          <w:rFonts w:hint="eastAsia" w:ascii="仿宋_GB2312" w:hAnsi="Times New Roman" w:eastAsia="仿宋_GB2312" w:cs="Times New Roman"/>
          <w:color w:val="000000" w:themeColor="text1"/>
          <w:sz w:val="32"/>
          <w:szCs w:val="32"/>
          <w:lang w:val="en-US" w:eastAsia="zh-CN"/>
        </w:rPr>
        <w:t>；双口灌区24个田块，田块灌溉208亩,灌溉面积8500亩，净灌溉水量377.1019万m</w:t>
      </w:r>
      <w:r>
        <w:rPr>
          <w:rFonts w:hint="eastAsia" w:ascii="仿宋_GB2312" w:hAnsi="Times New Roman" w:eastAsia="仿宋_GB2312" w:cs="Times New Roman"/>
          <w:color w:val="000000" w:themeColor="text1"/>
          <w:sz w:val="32"/>
          <w:szCs w:val="32"/>
          <w:vertAlign w:val="superscript"/>
          <w:lang w:val="en-US" w:eastAsia="zh-CN"/>
        </w:rPr>
        <w:t>3</w:t>
      </w:r>
      <w:r>
        <w:rPr>
          <w:rFonts w:hint="eastAsia" w:ascii="仿宋_GB2312" w:hAnsi="Times New Roman" w:eastAsia="仿宋_GB2312" w:cs="Times New Roman"/>
          <w:color w:val="000000" w:themeColor="text1"/>
          <w:sz w:val="32"/>
          <w:szCs w:val="32"/>
          <w:lang w:val="en-US" w:eastAsia="zh-CN"/>
        </w:rPr>
        <w:t>。</w:t>
      </w:r>
      <w:r>
        <w:rPr>
          <w:rFonts w:hint="eastAsia" w:ascii="仿宋_GB2312" w:eastAsia="仿宋_GB2312" w:cs="Times New Roman"/>
          <w:color w:val="000000" w:themeColor="text1"/>
          <w:sz w:val="32"/>
          <w:szCs w:val="32"/>
          <w:lang w:val="en-US" w:eastAsia="zh-CN"/>
        </w:rPr>
        <w:t>项目质量指标均已达标，得25分。</w:t>
      </w:r>
    </w:p>
    <w:p>
      <w:pPr>
        <w:spacing w:line="360" w:lineRule="auto"/>
        <w:ind w:firstLine="643" w:firstLineChars="200"/>
        <w:rPr>
          <w:rFonts w:hint="default" w:ascii="仿宋_GB2312" w:eastAsia="仿宋_GB2312" w:cs="Times New Roman"/>
          <w:b/>
          <w:bCs/>
          <w:color w:val="000000" w:themeColor="text1"/>
          <w:sz w:val="32"/>
          <w:szCs w:val="32"/>
          <w:lang w:val="en-US" w:eastAsia="zh-CN"/>
        </w:rPr>
      </w:pPr>
      <w:r>
        <w:rPr>
          <w:rFonts w:hint="eastAsia" w:ascii="仿宋_GB2312" w:eastAsia="仿宋_GB2312" w:cs="Times New Roman"/>
          <w:b/>
          <w:bCs/>
          <w:color w:val="000000" w:themeColor="text1"/>
          <w:sz w:val="32"/>
          <w:szCs w:val="32"/>
          <w:lang w:val="en-US" w:eastAsia="zh-CN"/>
        </w:rPr>
        <w:t>四是项目效益模块，该模块得分30分，自评得分30分。</w:t>
      </w:r>
      <w:r>
        <w:rPr>
          <w:rFonts w:hint="eastAsia" w:ascii="仿宋_GB2312" w:eastAsia="仿宋_GB2312" w:cs="Times New Roman"/>
          <w:color w:val="000000" w:themeColor="text1"/>
          <w:sz w:val="32"/>
          <w:szCs w:val="32"/>
          <w:lang w:val="en-US" w:eastAsia="zh-CN"/>
        </w:rPr>
        <w:t>该项目经济效益模块，通过农田灌溉水有效利用系数，灌入田间可被作物利用的水量与水源地灌溉取水总量的比值，灌区渠系输水和田间用水，衡量从水源取水到田间作物吸收利用过程中灌溉水利用，该项目社会效益指标得分达标，得30分。</w:t>
      </w:r>
    </w:p>
    <w:p>
      <w:pPr>
        <w:spacing w:line="360" w:lineRule="auto"/>
        <w:ind w:firstLine="640" w:firstLineChars="200"/>
        <w:rPr>
          <w:rFonts w:ascii="黑体" w:eastAsia="黑体"/>
          <w:sz w:val="32"/>
          <w:szCs w:val="32"/>
        </w:rPr>
      </w:pPr>
      <w:r>
        <w:rPr>
          <w:rFonts w:hint="eastAsia" w:ascii="黑体" w:eastAsia="黑体"/>
          <w:sz w:val="32"/>
          <w:szCs w:val="32"/>
        </w:rPr>
        <w:t>二、绩效表现</w:t>
      </w:r>
      <w:bookmarkStart w:id="0" w:name="_GoBack"/>
      <w:bookmarkEnd w:id="0"/>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21"/>
        </w:rPr>
        <w:t>本年度申请的资金全部及时足额到位，我局也根据工作安排，</w:t>
      </w:r>
      <w:r>
        <w:rPr>
          <w:rFonts w:hint="eastAsia" w:ascii="仿宋_GB2312" w:hAnsi="仿宋_GB2312" w:eastAsia="仿宋_GB2312"/>
          <w:sz w:val="32"/>
          <w:szCs w:val="21"/>
          <w:lang w:eastAsia="zh-CN"/>
        </w:rPr>
        <w:t>做好</w:t>
      </w:r>
      <w:r>
        <w:rPr>
          <w:rFonts w:hint="eastAsia" w:ascii="仿宋_GB2312" w:hAnsi="仿宋_GB2312" w:eastAsia="仿宋_GB2312"/>
          <w:sz w:val="32"/>
          <w:szCs w:val="21"/>
        </w:rPr>
        <w:t>了</w:t>
      </w:r>
      <w:r>
        <w:rPr>
          <w:rFonts w:hint="eastAsia" w:ascii="仿宋_GB2312" w:hAnsi="仿宋_GB2312" w:eastAsia="仿宋_GB2312"/>
          <w:sz w:val="32"/>
          <w:szCs w:val="21"/>
          <w:lang w:eastAsia="zh-CN"/>
        </w:rPr>
        <w:t>资金分配</w:t>
      </w:r>
      <w:r>
        <w:rPr>
          <w:rFonts w:hint="eastAsia" w:ascii="仿宋_GB2312" w:hAnsi="仿宋_GB2312" w:eastAsia="仿宋_GB2312"/>
          <w:sz w:val="32"/>
          <w:szCs w:val="21"/>
        </w:rPr>
        <w:t>工作，并</w:t>
      </w:r>
      <w:r>
        <w:rPr>
          <w:rFonts w:hint="eastAsia" w:ascii="仿宋_GB2312" w:hAnsi="仿宋_GB2312" w:eastAsia="仿宋_GB2312"/>
          <w:sz w:val="32"/>
          <w:szCs w:val="21"/>
          <w:lang w:eastAsia="zh-CN"/>
        </w:rPr>
        <w:t>及时完成资金拨付</w:t>
      </w:r>
      <w:r>
        <w:rPr>
          <w:rFonts w:hint="eastAsia" w:ascii="仿宋_GB2312" w:hAnsi="仿宋_GB2312" w:eastAsia="仿宋_GB2312"/>
          <w:sz w:val="32"/>
          <w:szCs w:val="21"/>
        </w:rPr>
        <w:t>。整个资金支付符合我局与县财政支付要求和程序，支付进度基本符合预期，资金结余是因为目前正在结算后续款项，资金使用做到公开透明，支付凭证齐备，经得起审计和检查。</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cs="Times New Roman"/>
          <w:sz w:val="32"/>
          <w:szCs w:val="21"/>
        </w:rPr>
        <w:t>乳源瑶族自治县</w:t>
      </w:r>
      <w:r>
        <w:rPr>
          <w:rFonts w:hint="eastAsia" w:ascii="仿宋_GB2312" w:hAnsi="仿宋_GB2312" w:eastAsia="仿宋_GB2312" w:cs="Times New Roman"/>
          <w:sz w:val="32"/>
          <w:szCs w:val="21"/>
          <w:lang w:eastAsia="zh-CN"/>
        </w:rPr>
        <w:t>灌溉水利用系数测算费用</w:t>
      </w:r>
      <w:r>
        <w:rPr>
          <w:rFonts w:hint="eastAsia" w:ascii="仿宋_GB2312" w:hAnsi="仿宋_GB2312" w:eastAsia="仿宋_GB2312" w:cs="Times New Roman"/>
          <w:sz w:val="32"/>
          <w:szCs w:val="21"/>
        </w:rPr>
        <w:t>资金总投入</w:t>
      </w:r>
      <w:r>
        <w:rPr>
          <w:rFonts w:hint="eastAsia" w:ascii="仿宋_GB2312" w:hAnsi="仿宋_GB2312" w:eastAsia="仿宋_GB2312" w:cs="Times New Roman"/>
          <w:sz w:val="32"/>
          <w:szCs w:val="21"/>
          <w:lang w:val="en-US" w:eastAsia="zh-CN"/>
        </w:rPr>
        <w:t>10</w:t>
      </w:r>
      <w:r>
        <w:rPr>
          <w:rFonts w:hint="eastAsia" w:ascii="仿宋_GB2312" w:hAnsi="仿宋_GB2312" w:eastAsia="仿宋_GB2312" w:cs="Times New Roman"/>
          <w:sz w:val="32"/>
          <w:szCs w:val="21"/>
        </w:rPr>
        <w:t>万元，</w:t>
      </w:r>
      <w:r>
        <w:rPr>
          <w:rFonts w:hint="eastAsia" w:ascii="仿宋_GB2312" w:hAnsi="仿宋_GB2312" w:eastAsia="仿宋_GB2312" w:cs="Times New Roman"/>
          <w:sz w:val="32"/>
          <w:szCs w:val="21"/>
          <w:lang w:val="en-US" w:eastAsia="zh-CN"/>
        </w:rPr>
        <w:t>支</w:t>
      </w:r>
      <w:r>
        <w:rPr>
          <w:rFonts w:hint="eastAsia" w:ascii="仿宋_GB2312" w:hAnsi="仿宋_GB2312" w:eastAsia="仿宋_GB2312" w:cs="Times New Roman"/>
          <w:sz w:val="32"/>
          <w:szCs w:val="21"/>
        </w:rPr>
        <w:t>付广东省水利水电科学研究院双口灌区标准化规范化达标创建及灌区一张图建设项目咨询费</w:t>
      </w:r>
      <w:r>
        <w:rPr>
          <w:rFonts w:hint="eastAsia" w:ascii="仿宋_GB2312" w:hAnsi="仿宋_GB2312" w:eastAsia="仿宋_GB2312" w:cs="Times New Roman"/>
          <w:sz w:val="32"/>
          <w:szCs w:val="21"/>
          <w:lang w:val="en-US" w:eastAsia="zh-CN"/>
        </w:rPr>
        <w:t>10</w:t>
      </w:r>
      <w:r>
        <w:rPr>
          <w:rFonts w:hint="eastAsia" w:ascii="仿宋_GB2312" w:hAnsi="仿宋_GB2312" w:eastAsia="仿宋_GB2312" w:cs="Times New Roman"/>
          <w:sz w:val="32"/>
          <w:szCs w:val="21"/>
        </w:rPr>
        <w:t>万元。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根据相关规定，目前已完成目标。</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4、项目资金使用效益，对环境、经济、社会的可持续影响。</w:t>
      </w:r>
      <w:r>
        <w:rPr>
          <w:rFonts w:hint="eastAsia" w:ascii="仿宋_GB2312" w:hAnsi="仿宋_GB2312" w:eastAsia="仿宋_GB2312"/>
          <w:sz w:val="32"/>
          <w:szCs w:val="32"/>
          <w:lang w:val="en-US" w:eastAsia="zh-CN"/>
        </w:rPr>
        <w:t xml:space="preserve">农田灌溉水有效利用系数是国家确立水资源管理“三条红线”控制目标的主要指标之一，也是我省实行最严格水资源管理制度的考核指标之一。它与灌区自然条件、工程状况、用水管理、灌水技术等因素有关，是指在一次灌水期间被农作物利用的净水量与水源渠首处总引进水量的比值。由于我省灌区数量多、渠系设施配套较差，造成农田灌溉水有效利用系数远低于全国平均水平，2011 年“中央一号”文件中，将灌溉水有效利用系数列入农田水利基础建设的重要考核指标。 </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无</w:t>
      </w:r>
    </w:p>
    <w:p>
      <w:pPr>
        <w:spacing w:line="360" w:lineRule="auto"/>
        <w:ind w:firstLine="640" w:firstLineChars="200"/>
        <w:rPr>
          <w:rFonts w:ascii="黑体" w:eastAsia="黑体"/>
          <w:color w:val="000000" w:themeColor="text1"/>
          <w:sz w:val="32"/>
          <w:szCs w:val="32"/>
        </w:rPr>
      </w:pPr>
      <w:r>
        <w:rPr>
          <w:rFonts w:hint="eastAsia" w:ascii="黑体" w:eastAsia="黑体"/>
          <w:color w:val="000000" w:themeColor="text1"/>
          <w:sz w:val="32"/>
          <w:szCs w:val="32"/>
        </w:rPr>
        <w:t>三、改进意见</w:t>
      </w:r>
    </w:p>
    <w:p>
      <w:pPr>
        <w:spacing w:line="360" w:lineRule="auto"/>
        <w:ind w:firstLine="640" w:firstLineChars="200"/>
        <w:rPr>
          <w:rFonts w:hint="eastAsia" w:ascii="仿宋_GB2312" w:eastAsia="仿宋_GB2312"/>
          <w:color w:val="000000" w:themeColor="text1"/>
          <w:sz w:val="32"/>
          <w:szCs w:val="32"/>
          <w:lang w:eastAsia="zh-CN"/>
        </w:rPr>
      </w:pPr>
      <w:r>
        <w:rPr>
          <w:rFonts w:hint="eastAsia" w:ascii="仿宋_GB2312" w:eastAsia="仿宋_GB2312"/>
          <w:color w:val="000000" w:themeColor="text1"/>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color w:val="000000" w:themeColor="text1"/>
          <w:sz w:val="32"/>
          <w:szCs w:val="32"/>
          <w:lang w:eastAsia="zh-CN"/>
        </w:rPr>
        <w:t>四、</w:t>
      </w:r>
      <w:r>
        <w:rPr>
          <w:rFonts w:hint="eastAsia" w:ascii="黑体" w:eastAsia="黑体"/>
          <w:color w:val="000000" w:themeColor="text1"/>
          <w:sz w:val="32"/>
          <w:szCs w:val="32"/>
        </w:rPr>
        <w:t>其他需要说</w:t>
      </w:r>
      <w:r>
        <w:rPr>
          <w:rFonts w:hint="eastAsia" w:ascii="黑体" w:eastAsia="黑体"/>
          <w:sz w:val="32"/>
          <w:szCs w:val="32"/>
        </w:rPr>
        <w:t>明的情况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IwN2UzOTY3MzU4NmI3YzJhM2E5OTEwYzY0MGUwNzcifQ=="/>
  </w:docVars>
  <w:rsids>
    <w:rsidRoot w:val="00F22CA7"/>
    <w:rsid w:val="000560B1"/>
    <w:rsid w:val="00182223"/>
    <w:rsid w:val="003B25CA"/>
    <w:rsid w:val="004903E7"/>
    <w:rsid w:val="00534213"/>
    <w:rsid w:val="006F6EA7"/>
    <w:rsid w:val="0087074D"/>
    <w:rsid w:val="00916C35"/>
    <w:rsid w:val="009C14D0"/>
    <w:rsid w:val="00B0507A"/>
    <w:rsid w:val="00E409B6"/>
    <w:rsid w:val="00EE444F"/>
    <w:rsid w:val="00F22CA7"/>
    <w:rsid w:val="05B358D8"/>
    <w:rsid w:val="075F1676"/>
    <w:rsid w:val="09FE29B2"/>
    <w:rsid w:val="14397F83"/>
    <w:rsid w:val="16AA7F87"/>
    <w:rsid w:val="1BEA0FB0"/>
    <w:rsid w:val="1E584F0F"/>
    <w:rsid w:val="22087E42"/>
    <w:rsid w:val="23EF1892"/>
    <w:rsid w:val="280653FC"/>
    <w:rsid w:val="2A0C3112"/>
    <w:rsid w:val="39921607"/>
    <w:rsid w:val="3AAD23E9"/>
    <w:rsid w:val="3C520DC5"/>
    <w:rsid w:val="45B64D0F"/>
    <w:rsid w:val="468762A1"/>
    <w:rsid w:val="4C7B3413"/>
    <w:rsid w:val="4EFD35B7"/>
    <w:rsid w:val="5375086E"/>
    <w:rsid w:val="7A400F00"/>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6</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星晴</cp:lastModifiedBy>
  <cp:lastPrinted>2018-10-25T10:57:00Z</cp:lastPrinted>
  <dcterms:modified xsi:type="dcterms:W3CDTF">2024-03-28T08:21:34Z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