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lang w:eastAsia="zh-CN"/>
        </w:rPr>
        <w:t>乳源瑶族自治县水土保持巡查费</w:t>
      </w:r>
      <w:r>
        <w:rPr>
          <w:rFonts w:hint="eastAsia" w:ascii="宋体" w:hAnsi="宋体"/>
          <w:b/>
          <w:sz w:val="36"/>
          <w:szCs w:val="36"/>
        </w:rPr>
        <w:t>财政支出项目绩效</w:t>
      </w:r>
    </w:p>
    <w:p>
      <w:pPr>
        <w:jc w:val="center"/>
        <w:rPr>
          <w:rFonts w:hint="eastAsia" w:ascii="宋体" w:hAnsi="宋体"/>
          <w:b/>
          <w:sz w:val="36"/>
          <w:szCs w:val="36"/>
        </w:rPr>
      </w:pPr>
      <w:r>
        <w:rPr>
          <w:rFonts w:hint="eastAsia" w:ascii="宋体" w:hAnsi="宋体"/>
          <w:b/>
          <w:sz w:val="36"/>
          <w:szCs w:val="36"/>
        </w:rPr>
        <w:t>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乳源瑶族自治县水利水保建设事务中心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widowControl/>
        <w:suppressLineNumbers w:val="0"/>
        <w:ind w:firstLine="640" w:firstLineChars="200"/>
        <w:jc w:val="left"/>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水利水保建设事务中心</w:t>
      </w:r>
      <w:r>
        <w:rPr>
          <w:rFonts w:hint="eastAsia" w:ascii="仿宋_GB2312" w:hAnsi="Times New Roman" w:eastAsia="仿宋_GB2312" w:cs="Times New Roman"/>
          <w:sz w:val="32"/>
          <w:szCs w:val="32"/>
        </w:rPr>
        <w:t>是县</w:t>
      </w:r>
      <w:r>
        <w:rPr>
          <w:rFonts w:hint="eastAsia" w:ascii="仿宋_GB2312" w:eastAsia="仿宋_GB2312" w:cs="Times New Roman"/>
          <w:sz w:val="32"/>
          <w:szCs w:val="32"/>
          <w:lang w:eastAsia="zh-CN"/>
        </w:rPr>
        <w:t>水务局下属单位，</w:t>
      </w:r>
      <w:r>
        <w:rPr>
          <w:rFonts w:hint="eastAsia" w:ascii="仿宋_GB2312" w:eastAsia="仿宋_GB2312" w:cs="Times New Roman"/>
          <w:sz w:val="32"/>
          <w:szCs w:val="32"/>
          <w:lang w:val="en-US" w:eastAsia="zh-CN"/>
        </w:rPr>
        <w:t>县水利水保建设事务中心主要工作职责:宣传贯彻落实国家、省有关水土保持法律法规。负责全县水土流失勘测、普查、动态监测工作。负责荒山、荒沟、荒丘、荒滩治理的水土保持技术管理。组织开展水土保持科学技术研究、人才培训和技术推广。</w:t>
      </w:r>
      <w:r>
        <w:rPr>
          <w:rFonts w:hint="eastAsia" w:ascii="仿宋_GB2312" w:eastAsia="仿宋_GB2312" w:cs="Times New Roman"/>
          <w:sz w:val="32"/>
          <w:szCs w:val="32"/>
          <w:lang w:eastAsia="zh-CN"/>
        </w:rPr>
        <w:t>本次由我中心实施的水土保持巡查项目</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严格</w:t>
      </w:r>
      <w:r>
        <w:rPr>
          <w:rFonts w:hint="eastAsia" w:ascii="仿宋_GB2312" w:eastAsia="仿宋_GB2312" w:cs="Times New Roman"/>
          <w:sz w:val="32"/>
          <w:szCs w:val="32"/>
          <w:lang w:eastAsia="zh-CN"/>
        </w:rPr>
        <w:t>落实</w:t>
      </w:r>
      <w:r>
        <w:rPr>
          <w:rFonts w:hint="eastAsia" w:ascii="仿宋_GB2312" w:hAnsi="Times New Roman" w:eastAsia="仿宋_GB2312" w:cs="Times New Roman"/>
          <w:sz w:val="32"/>
          <w:szCs w:val="32"/>
        </w:rPr>
        <w:t>生产建设活动水土保持监管。聚焦有效管住人为水土流失增量，进一步健全监管标准体系、多措并举高效监管、多方联动协同监管、强化建设主体责任落实。同时，科学推进水土流失重点治理。聚焦山水林田湖草沙一体化保护和系统治理，从全面推动综合治理提质增效、科学推进石漠化综合治理、强化林下水土流失治理、大力推进坡耕地治理、系统推进矿山生态修复等方面内容，明确水土流失治理重点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二</w:t>
      </w: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项目主要内容是</w:t>
      </w:r>
      <w:r>
        <w:rPr>
          <w:rFonts w:hint="eastAsia" w:ascii="仿宋_GB2312" w:eastAsia="仿宋_GB2312"/>
          <w:sz w:val="32"/>
          <w:szCs w:val="32"/>
          <w:lang w:eastAsia="zh-CN"/>
        </w:rPr>
        <w:t>实施水土保持巡查</w:t>
      </w:r>
      <w:r>
        <w:rPr>
          <w:rFonts w:hint="eastAsia" w:ascii="仿宋_GB2312" w:eastAsia="仿宋_GB2312" w:cs="Times New Roman"/>
          <w:sz w:val="32"/>
          <w:szCs w:val="32"/>
          <w:lang w:eastAsia="zh-CN"/>
        </w:rPr>
        <w:t>工程，</w:t>
      </w:r>
      <w:r>
        <w:rPr>
          <w:rFonts w:hint="eastAsia" w:ascii="仿宋_GB2312" w:hAnsi="Times New Roman" w:eastAsia="仿宋_GB2312" w:cs="Times New Roman"/>
          <w:sz w:val="32"/>
          <w:szCs w:val="32"/>
        </w:rPr>
        <w:t>申请</w:t>
      </w:r>
      <w:r>
        <w:rPr>
          <w:rFonts w:hint="eastAsia" w:ascii="仿宋_GB2312" w:eastAsia="仿宋_GB2312" w:cs="Times New Roman"/>
          <w:sz w:val="32"/>
          <w:szCs w:val="32"/>
          <w:lang w:eastAsia="zh-CN"/>
        </w:rPr>
        <w:t>水土保持巡查</w:t>
      </w:r>
      <w:r>
        <w:rPr>
          <w:rFonts w:hint="eastAsia" w:ascii="仿宋_GB2312" w:hAnsi="Times New Roman" w:eastAsia="仿宋_GB2312" w:cs="Times New Roman"/>
          <w:sz w:val="32"/>
          <w:szCs w:val="32"/>
        </w:rPr>
        <w:t>经费，并</w:t>
      </w:r>
      <w:r>
        <w:rPr>
          <w:rFonts w:hint="eastAsia" w:ascii="仿宋_GB2312" w:eastAsia="仿宋_GB2312" w:cs="Times New Roman"/>
          <w:sz w:val="32"/>
          <w:szCs w:val="32"/>
          <w:lang w:eastAsia="zh-CN"/>
        </w:rPr>
        <w:t>落实部门预算批复</w:t>
      </w:r>
      <w:r>
        <w:rPr>
          <w:rFonts w:hint="eastAsia" w:ascii="仿宋_GB2312" w:hAnsi="Times New Roman" w:eastAsia="仿宋_GB2312" w:cs="Times New Roman"/>
          <w:sz w:val="32"/>
          <w:szCs w:val="32"/>
        </w:rPr>
        <w:t>，根据合同要求，抓好经费支付和进度、编制质量控制工作。</w:t>
      </w:r>
    </w:p>
    <w:p>
      <w:pPr>
        <w:numPr>
          <w:numId w:val="0"/>
        </w:numPr>
        <w:spacing w:line="360" w:lineRule="auto"/>
        <w:ind w:leftChars="200"/>
        <w:rPr>
          <w:rFonts w:hint="eastAsia" w:ascii="仿宋_GB2312" w:eastAsia="仿宋_GB2312"/>
          <w:sz w:val="32"/>
          <w:szCs w:val="32"/>
        </w:rPr>
      </w:pPr>
      <w:r>
        <w:rPr>
          <w:rFonts w:hint="eastAsia" w:ascii="仿宋_GB2312" w:eastAsia="仿宋_GB2312"/>
          <w:sz w:val="32"/>
          <w:szCs w:val="32"/>
          <w:lang w:val="en-US" w:eastAsia="zh-CN"/>
        </w:rPr>
        <w:t>（三</w:t>
      </w:r>
      <w:bookmarkStart w:id="0" w:name="_GoBack"/>
      <w:bookmarkEnd w:id="0"/>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rPr>
          <w:rFonts w:hint="eastAsia" w:ascii="仿宋_GB2312" w:eastAsia="仿宋_GB2312"/>
          <w:sz w:val="32"/>
          <w:szCs w:val="32"/>
        </w:rPr>
      </w:pPr>
      <w:r>
        <w:rPr>
          <w:rFonts w:hint="eastAsia" w:ascii="仿宋_GB2312" w:eastAsia="仿宋_GB2312"/>
          <w:sz w:val="32"/>
          <w:szCs w:val="32"/>
        </w:rPr>
        <w:t>本项目我局自评得分</w:t>
      </w:r>
      <w:r>
        <w:rPr>
          <w:rFonts w:hint="eastAsia" w:ascii="仿宋_GB2312" w:eastAsia="仿宋_GB2312"/>
          <w:sz w:val="32"/>
          <w:szCs w:val="32"/>
          <w:lang w:val="en-US" w:eastAsia="zh-CN"/>
        </w:rPr>
        <w:t>100</w:t>
      </w:r>
      <w:r>
        <w:rPr>
          <w:rFonts w:hint="eastAsia" w:ascii="仿宋_GB2312" w:eastAsia="仿宋_GB2312"/>
          <w:sz w:val="32"/>
          <w:szCs w:val="32"/>
        </w:rPr>
        <w:t>分。</w:t>
      </w:r>
    </w:p>
    <w:p>
      <w:pPr>
        <w:spacing w:line="360" w:lineRule="auto"/>
        <w:ind w:firstLine="643" w:firstLineChars="200"/>
        <w:rPr>
          <w:rFonts w:hint="eastAsia" w:ascii="仿宋_GB2312" w:hAnsi="Times New Roman" w:eastAsia="仿宋_GB2312" w:cs="Times New Roman"/>
          <w:sz w:val="32"/>
          <w:szCs w:val="32"/>
        </w:rPr>
      </w:pPr>
      <w:r>
        <w:rPr>
          <w:rFonts w:hint="eastAsia" w:ascii="仿宋_GB2312" w:eastAsia="仿宋_GB2312" w:cs="Times New Roman"/>
          <w:b/>
          <w:bCs/>
          <w:sz w:val="32"/>
          <w:szCs w:val="32"/>
          <w:lang w:eastAsia="zh-CN"/>
        </w:rPr>
        <w:t>一是项目投入阶段，投入阶段总得分</w:t>
      </w:r>
      <w:r>
        <w:rPr>
          <w:rFonts w:hint="eastAsia" w:ascii="仿宋_GB2312" w:eastAsia="仿宋_GB2312" w:cs="Times New Roman"/>
          <w:b/>
          <w:bCs/>
          <w:sz w:val="32"/>
          <w:szCs w:val="32"/>
          <w:lang w:val="en-US" w:eastAsia="zh-CN"/>
        </w:rPr>
        <w:t>20分，自评得分20分。</w:t>
      </w:r>
      <w:r>
        <w:rPr>
          <w:rFonts w:hint="eastAsia" w:ascii="仿宋_GB2312" w:hAnsi="Times New Roman" w:eastAsia="仿宋_GB2312" w:cs="Times New Roman"/>
          <w:sz w:val="32"/>
          <w:szCs w:val="32"/>
        </w:rPr>
        <w:t>首先项目的</w:t>
      </w:r>
      <w:r>
        <w:rPr>
          <w:rFonts w:hint="eastAsia" w:ascii="仿宋_GB2312" w:eastAsia="仿宋_GB2312" w:cs="Times New Roman"/>
          <w:sz w:val="32"/>
          <w:szCs w:val="32"/>
          <w:lang w:eastAsia="zh-CN"/>
        </w:rPr>
        <w:t>投入是为了实施</w:t>
      </w:r>
      <w:r>
        <w:rPr>
          <w:rFonts w:hint="eastAsia" w:ascii="仿宋_GB2312" w:eastAsia="仿宋_GB2312"/>
          <w:sz w:val="32"/>
          <w:szCs w:val="32"/>
          <w:lang w:eastAsia="zh-CN"/>
        </w:rPr>
        <w:t>水土保持巡查工程。</w:t>
      </w:r>
      <w:r>
        <w:rPr>
          <w:rFonts w:hint="eastAsia" w:ascii="仿宋_GB2312" w:hAnsi="Times New Roman" w:eastAsia="仿宋_GB2312" w:cs="Times New Roman"/>
          <w:sz w:val="32"/>
          <w:szCs w:val="32"/>
        </w:rPr>
        <w:t>经费落实的项目完全是遵照法律法规的要求必须开展的，</w:t>
      </w:r>
      <w:r>
        <w:rPr>
          <w:rFonts w:hint="eastAsia" w:ascii="仿宋_GB2312" w:eastAsia="仿宋_GB2312" w:cs="Times New Roman"/>
          <w:sz w:val="32"/>
          <w:szCs w:val="32"/>
          <w:lang w:eastAsia="zh-CN"/>
        </w:rPr>
        <w:t>部门预算</w:t>
      </w:r>
      <w:r>
        <w:rPr>
          <w:rFonts w:hint="eastAsia" w:ascii="仿宋_GB2312" w:hAnsi="Times New Roman" w:eastAsia="仿宋_GB2312" w:cs="Times New Roman"/>
          <w:sz w:val="32"/>
          <w:szCs w:val="32"/>
        </w:rPr>
        <w:t>申请通过了县政府和县财政局批准，并严格按照预算实行招标控制，开展这些工作都有政府要求的而且符合法律法规文件与我局</w:t>
      </w:r>
      <w:r>
        <w:rPr>
          <w:rFonts w:hint="eastAsia" w:ascii="仿宋_GB2312" w:eastAsia="仿宋_GB2312" w:cs="Times New Roman"/>
          <w:sz w:val="32"/>
          <w:szCs w:val="32"/>
          <w:lang w:eastAsia="zh-CN"/>
        </w:rPr>
        <w:t>水土流失防治</w:t>
      </w:r>
      <w:r>
        <w:rPr>
          <w:rFonts w:hint="eastAsia" w:ascii="仿宋_GB2312" w:hAnsi="Times New Roman" w:eastAsia="仿宋_GB2312" w:cs="Times New Roman"/>
          <w:sz w:val="32"/>
          <w:szCs w:val="32"/>
        </w:rPr>
        <w:t>职能需要。对应财政支出项目绩效自评基础信息表二级指标前期准备的目标设置，具有前期可行性研究报告或摸底调查工作总结</w:t>
      </w:r>
      <w:r>
        <w:rPr>
          <w:rFonts w:hint="eastAsia" w:ascii="仿宋_GB2312" w:eastAsia="仿宋_GB2312" w:cs="Times New Roman"/>
          <w:sz w:val="32"/>
          <w:szCs w:val="32"/>
          <w:lang w:eastAsia="zh-CN"/>
        </w:rPr>
        <w:t>，并经局领导班子会议讨论，论证充分，项目得</w:t>
      </w:r>
      <w:r>
        <w:rPr>
          <w:rFonts w:hint="eastAsia" w:ascii="仿宋_GB2312" w:eastAsia="仿宋_GB2312" w:cs="Times New Roman"/>
          <w:sz w:val="32"/>
          <w:szCs w:val="32"/>
          <w:lang w:val="en-US" w:eastAsia="zh-CN"/>
        </w:rPr>
        <w:t>4分；</w:t>
      </w:r>
      <w:r>
        <w:rPr>
          <w:rFonts w:hint="eastAsia" w:ascii="仿宋_GB2312" w:eastAsia="仿宋_GB2312" w:cs="Times New Roman"/>
          <w:sz w:val="32"/>
          <w:szCs w:val="32"/>
          <w:lang w:eastAsia="zh-CN"/>
        </w:rPr>
        <w:t>项目包括预期提供的公共产品或服务的产出数量、质量、成本指标，项目完整性充足，得</w:t>
      </w:r>
      <w:r>
        <w:rPr>
          <w:rFonts w:hint="eastAsia" w:ascii="仿宋_GB2312" w:eastAsia="仿宋_GB2312" w:cs="Times New Roman"/>
          <w:sz w:val="32"/>
          <w:szCs w:val="32"/>
          <w:lang w:val="en-US" w:eastAsia="zh-CN"/>
        </w:rPr>
        <w:t>2分；项目绩效目标与资金或项目属性特点、支出内容相关，体现决策意图，同时合乎客观实际，项目合理性充分，得2分；项目绩效目标设置有数据支撑、有可衡量性的产出和效果，项目可衡量性足够，得2分。同时项目依据相关基础信息设立了资金使用管理办法、项目管理办法，并编制了预算项目年度工作计划，制度完整性和计划安排合理性充足，得2分；资金到位率、资金到位及时性、资金分配合理性均达到100%，即项目投入模块指标</w:t>
      </w:r>
      <w:r>
        <w:rPr>
          <w:rFonts w:hint="eastAsia" w:ascii="仿宋_GB2312" w:hAnsi="Times New Roman" w:eastAsia="仿宋_GB2312" w:cs="Times New Roman"/>
          <w:sz w:val="32"/>
          <w:szCs w:val="32"/>
        </w:rPr>
        <w:t>总分</w:t>
      </w:r>
      <w:r>
        <w:rPr>
          <w:rFonts w:hint="eastAsia" w:ascii="仿宋_GB2312" w:eastAsia="仿宋_GB2312" w:cs="Times New Roman"/>
          <w:sz w:val="32"/>
          <w:szCs w:val="32"/>
          <w:lang w:val="en-US" w:eastAsia="zh-CN"/>
        </w:rPr>
        <w:t>20</w:t>
      </w:r>
      <w:r>
        <w:rPr>
          <w:rFonts w:hint="eastAsia" w:ascii="仿宋_GB2312" w:hAnsi="Times New Roman" w:eastAsia="仿宋_GB2312" w:cs="Times New Roman"/>
          <w:sz w:val="32"/>
          <w:szCs w:val="32"/>
        </w:rPr>
        <w:t>分，自评分</w:t>
      </w:r>
      <w:r>
        <w:rPr>
          <w:rFonts w:hint="eastAsia" w:ascii="仿宋_GB2312" w:eastAsia="仿宋_GB2312" w:cs="Times New Roman"/>
          <w:sz w:val="32"/>
          <w:szCs w:val="32"/>
          <w:lang w:val="en-US" w:eastAsia="zh-CN"/>
        </w:rPr>
        <w:t>20</w:t>
      </w:r>
      <w:r>
        <w:rPr>
          <w:rFonts w:hint="eastAsia" w:ascii="仿宋_GB2312" w:hAnsi="Times New Roman" w:eastAsia="仿宋_GB2312" w:cs="Times New Roman"/>
          <w:sz w:val="32"/>
          <w:szCs w:val="32"/>
        </w:rPr>
        <w:t>分。</w:t>
      </w:r>
    </w:p>
    <w:p>
      <w:pPr>
        <w:spacing w:line="360" w:lineRule="auto"/>
        <w:ind w:firstLine="643" w:firstLineChars="200"/>
        <w:rPr>
          <w:rFonts w:hint="default" w:ascii="仿宋_GB2312" w:eastAsia="仿宋_GB2312" w:cs="Times New Roman"/>
          <w:sz w:val="32"/>
          <w:szCs w:val="32"/>
          <w:lang w:val="en-US" w:eastAsia="zh-CN"/>
        </w:rPr>
      </w:pPr>
      <w:r>
        <w:rPr>
          <w:rFonts w:hint="eastAsia" w:ascii="仿宋_GB2312" w:eastAsia="仿宋_GB2312" w:cs="Times New Roman"/>
          <w:b/>
          <w:bCs/>
          <w:sz w:val="32"/>
          <w:szCs w:val="32"/>
          <w:lang w:eastAsia="zh-CN"/>
        </w:rPr>
        <w:t>二是项目过程模块，该模块总得分</w:t>
      </w:r>
      <w:r>
        <w:rPr>
          <w:rFonts w:hint="eastAsia" w:ascii="仿宋_GB2312" w:eastAsia="仿宋_GB2312" w:cs="Times New Roman"/>
          <w:b/>
          <w:bCs/>
          <w:sz w:val="32"/>
          <w:szCs w:val="32"/>
          <w:lang w:val="en-US" w:eastAsia="zh-CN"/>
        </w:rPr>
        <w:t>20分，自评得分20分。</w:t>
      </w:r>
      <w:r>
        <w:rPr>
          <w:rFonts w:hint="eastAsia" w:ascii="仿宋_GB2312" w:eastAsia="仿宋_GB2312" w:cs="Times New Roman"/>
          <w:sz w:val="32"/>
          <w:szCs w:val="32"/>
          <w:lang w:eastAsia="zh-CN"/>
        </w:rPr>
        <w:t>对于资金支出率，项目于</w:t>
      </w:r>
      <w:r>
        <w:rPr>
          <w:rFonts w:hint="eastAsia" w:ascii="仿宋_GB2312" w:eastAsia="仿宋_GB2312" w:cs="Times New Roman"/>
          <w:sz w:val="32"/>
          <w:szCs w:val="32"/>
          <w:lang w:val="en-US" w:eastAsia="zh-CN"/>
        </w:rPr>
        <w:t>2023年底完成支付4.62万元，2023年需完成支付4.62万元，完成支付率100.00%，此项资金支付支出率达标率为100%，得分6分。该项目按规定履行调整报批手续且按事项完成进度支付资金，资金管理、费用标准、支付符合有关制度规定，规范执行会计核算制度，该项支出规范性得6分。该项目按规定程序实施，项目调整按规定履行报批手续，项目招投标、建设、验收等或方案实施严格执行相关制度规定的，该项目程序规范性得4分。该项目建立有效管理机制，且执行情况良好，同时根据上级水行政主管部门对实施项目开展了有效的水土流失检查、监控、督促整改，该项目监管有效性得分4分。</w:t>
      </w:r>
    </w:p>
    <w:p>
      <w:pPr>
        <w:spacing w:line="360" w:lineRule="auto"/>
        <w:ind w:firstLine="643" w:firstLineChars="200"/>
        <w:rPr>
          <w:rFonts w:hint="eastAsia" w:ascii="仿宋_GB2312" w:eastAsia="仿宋_GB2312" w:cs="Times New Roman"/>
          <w:sz w:val="32"/>
          <w:szCs w:val="32"/>
          <w:lang w:val="en-US" w:eastAsia="zh-CN"/>
        </w:rPr>
      </w:pPr>
      <w:r>
        <w:rPr>
          <w:rFonts w:hint="eastAsia" w:ascii="仿宋_GB2312" w:eastAsia="仿宋_GB2312" w:cs="Times New Roman"/>
          <w:b/>
          <w:bCs/>
          <w:sz w:val="32"/>
          <w:szCs w:val="32"/>
          <w:lang w:eastAsia="zh-CN"/>
        </w:rPr>
        <w:t>三是项目产出模块，该模块得分</w:t>
      </w:r>
      <w:r>
        <w:rPr>
          <w:rFonts w:hint="eastAsia" w:ascii="仿宋_GB2312" w:eastAsia="仿宋_GB2312" w:cs="Times New Roman"/>
          <w:b/>
          <w:bCs/>
          <w:sz w:val="32"/>
          <w:szCs w:val="32"/>
          <w:lang w:val="en-US" w:eastAsia="zh-CN"/>
        </w:rPr>
        <w:t>30分，自评得分30分</w:t>
      </w:r>
      <w:r>
        <w:rPr>
          <w:rFonts w:hint="eastAsia" w:ascii="仿宋_GB2312" w:eastAsia="仿宋_GB2312" w:cs="Times New Roman"/>
          <w:sz w:val="32"/>
          <w:szCs w:val="32"/>
          <w:lang w:val="en-US" w:eastAsia="zh-CN"/>
        </w:rPr>
        <w:t>。该项目在预算执行进度与事项完成进度基本匹配，实际支出未超过预算计划的，项目预算控制得3分。该项目在与同类项目或市场价格比较，项目实施的成本（包括工程造价、物品采购单价、人员经费等）属于合理范围的，项目成本控制得分2分，项目经济性总得分5分。该项目每月达成巡查次数12次，全年完成水土保持巡查144次，完成水利水保评审5宗，发放山洪灾害预案及宣传手册1500份，对当地水土保持能力提升，遏制水土流失，提高依法行政水平等能力均有所提升，该项目完成年限为2023年12月底水土保持巡查均在2023年12月底前完成，项目时效指标均已达标。该项目质量指标验收合格率模块，项目完工验收合格率均为合格，项目质量指标均已达标，项目效率性得分25分。</w:t>
      </w:r>
    </w:p>
    <w:p>
      <w:pPr>
        <w:keepNext w:val="0"/>
        <w:keepLines w:val="0"/>
        <w:widowControl/>
        <w:suppressLineNumbers w:val="0"/>
        <w:ind w:firstLine="643" w:firstLineChars="200"/>
        <w:jc w:val="left"/>
        <w:rPr>
          <w:rFonts w:hint="eastAsia" w:ascii="仿宋_GB2312" w:eastAsia="仿宋_GB2312"/>
          <w:sz w:val="32"/>
          <w:szCs w:val="32"/>
          <w:lang w:val="en-US" w:eastAsia="zh-CN"/>
        </w:rPr>
      </w:pPr>
      <w:r>
        <w:rPr>
          <w:rFonts w:hint="eastAsia" w:ascii="仿宋_GB2312" w:eastAsia="仿宋_GB2312" w:cs="Times New Roman"/>
          <w:b/>
          <w:bCs/>
          <w:sz w:val="32"/>
          <w:szCs w:val="32"/>
          <w:lang w:val="en-US" w:eastAsia="zh-CN"/>
        </w:rPr>
        <w:t>四是项目效益模块，该模块得分30分，自评得分30分。</w:t>
      </w:r>
      <w:r>
        <w:rPr>
          <w:rFonts w:hint="eastAsia" w:ascii="仿宋_GB2312" w:eastAsia="仿宋_GB2312" w:cs="Times New Roman"/>
          <w:sz w:val="32"/>
          <w:szCs w:val="32"/>
          <w:lang w:val="en-US" w:eastAsia="zh-CN"/>
        </w:rPr>
        <w:t>该项目经济效益模块，通过深入践行绿水青山就是金山银山的理念，尊重自然、顺应自然、保护自然，全面实施水土流失预防保护，加快实施重要生态系统保护和修复重大工程，深入推进山水林田湖草沙一体化保护和系统治理，因地制宜开展一系列国家水土保持重点治理工程，我县不同类型、不同区域和流域的水土流失状况均实现持续好转</w:t>
      </w:r>
      <w:r>
        <w:rPr>
          <w:rFonts w:hint="eastAsia" w:ascii="仿宋_GB2312" w:hAnsi="仿宋_GB2312" w:eastAsia="仿宋_GB2312" w:cs="仿宋_GB2312"/>
          <w:color w:val="000000"/>
          <w:kern w:val="0"/>
          <w:sz w:val="32"/>
          <w:szCs w:val="32"/>
          <w:lang w:val="en-US" w:eastAsia="zh-CN" w:bidi="ar"/>
        </w:rPr>
        <w:t>，该项目经济效益得分达标。该项目社会效益指标</w:t>
      </w:r>
      <w:r>
        <w:rPr>
          <w:rFonts w:hint="eastAsia" w:ascii="仿宋_GB2312" w:eastAsia="仿宋_GB2312" w:cs="Times New Roman"/>
          <w:sz w:val="32"/>
          <w:szCs w:val="32"/>
          <w:lang w:val="en-US" w:eastAsia="zh-CN"/>
        </w:rPr>
        <w:t>以水土防治为主，始终把人为水土流失监管作为控制人为破坏“增量”的重中之重，积极践行绿色发展理念，坚持用最严格制度、最严密法治保护生态环境、守护绿水青山，构建起以遥感监管为基本手段、重点监管为补充、信用监管为基础的新型监管机制。通过“天上看、地面查、全覆盖”水土流失遥感监管，及时发现查处违法违规行为，建立水土保持全过程全链条监管体系，依法依规严格监管人为水土流失，该项目社会效益指标得分达标。该项目科学推进水土流失综合治理，大力实施河长制建设，复苏河湖生态环境，提升生态系统质量和稳定性,对于土壤固定和抵御水流冲击具有重要作用，保护水土流水能力有所提升，该项目生态效益指标得分达标，该项目可持续影响指标得分达标。该项目</w:t>
      </w:r>
      <w:r>
        <w:rPr>
          <w:rFonts w:hint="eastAsia" w:ascii="仿宋_GB2312" w:eastAsia="仿宋_GB2312"/>
          <w:sz w:val="32"/>
          <w:szCs w:val="32"/>
          <w:lang w:val="en-US" w:eastAsia="zh-CN"/>
        </w:rPr>
        <w:t>提高河流生态环境、自然景观，在保障河道行洪安全的前提下，加大对造成水土流失违法行为严厉打击，兼顾改善河流生态环境，提高水土保持能力，发挥应有的效益，该项目群众满意度较高，该项目服务对象满意度指标得分达标。</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21"/>
        </w:rPr>
        <w:t>本年度申请的资金全部及时足额到位，我局也根据工作安排，</w:t>
      </w:r>
      <w:r>
        <w:rPr>
          <w:rFonts w:hint="eastAsia" w:ascii="仿宋_GB2312" w:hAnsi="仿宋_GB2312" w:eastAsia="仿宋_GB2312"/>
          <w:sz w:val="32"/>
          <w:szCs w:val="21"/>
          <w:lang w:eastAsia="zh-CN"/>
        </w:rPr>
        <w:t>做好</w:t>
      </w:r>
      <w:r>
        <w:rPr>
          <w:rFonts w:hint="eastAsia" w:ascii="仿宋_GB2312" w:hAnsi="仿宋_GB2312" w:eastAsia="仿宋_GB2312"/>
          <w:sz w:val="32"/>
          <w:szCs w:val="21"/>
        </w:rPr>
        <w:t>了</w:t>
      </w:r>
      <w:r>
        <w:rPr>
          <w:rFonts w:hint="eastAsia" w:ascii="仿宋_GB2312" w:hAnsi="仿宋_GB2312" w:eastAsia="仿宋_GB2312"/>
          <w:sz w:val="32"/>
          <w:szCs w:val="21"/>
          <w:lang w:eastAsia="zh-CN"/>
        </w:rPr>
        <w:t>资金分配</w:t>
      </w:r>
      <w:r>
        <w:rPr>
          <w:rFonts w:hint="eastAsia" w:ascii="仿宋_GB2312" w:hAnsi="仿宋_GB2312" w:eastAsia="仿宋_GB2312"/>
          <w:sz w:val="32"/>
          <w:szCs w:val="21"/>
        </w:rPr>
        <w:t>工作，并</w:t>
      </w:r>
      <w:r>
        <w:rPr>
          <w:rFonts w:hint="eastAsia" w:ascii="仿宋_GB2312" w:hAnsi="仿宋_GB2312" w:eastAsia="仿宋_GB2312"/>
          <w:sz w:val="32"/>
          <w:szCs w:val="21"/>
          <w:lang w:eastAsia="zh-CN"/>
        </w:rPr>
        <w:t>及时完成资金拨付</w:t>
      </w:r>
      <w:r>
        <w:rPr>
          <w:rFonts w:hint="eastAsia" w:ascii="仿宋_GB2312" w:hAnsi="仿宋_GB2312" w:eastAsia="仿宋_GB2312"/>
          <w:sz w:val="32"/>
          <w:szCs w:val="21"/>
        </w:rPr>
        <w:t>。整个资金支付符合我局与县财政支付要求和程序，支付进度基本符合预期，资金结余是因为目前正在结算后续款项，资金使用做到公开透明，支付凭证齐备，经得起审计和检查。</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乳源瑶族自治县</w:t>
      </w:r>
      <w:r>
        <w:rPr>
          <w:rFonts w:hint="eastAsia" w:ascii="仿宋_GB2312" w:hAnsi="仿宋_GB2312" w:eastAsia="仿宋_GB2312" w:cs="Times New Roman"/>
          <w:sz w:val="32"/>
          <w:szCs w:val="21"/>
          <w:lang w:eastAsia="zh-CN"/>
        </w:rPr>
        <w:t>水土保持巡查费</w:t>
      </w:r>
      <w:r>
        <w:rPr>
          <w:rFonts w:hint="eastAsia" w:ascii="仿宋_GB2312" w:hAnsi="仿宋_GB2312" w:eastAsia="仿宋_GB2312" w:cs="Times New Roman"/>
          <w:sz w:val="32"/>
          <w:szCs w:val="21"/>
        </w:rPr>
        <w:t>资金总投入</w:t>
      </w:r>
      <w:r>
        <w:rPr>
          <w:rFonts w:hint="eastAsia" w:ascii="仿宋_GB2312" w:hAnsi="仿宋_GB2312" w:eastAsia="仿宋_GB2312" w:cs="Times New Roman"/>
          <w:sz w:val="32"/>
          <w:szCs w:val="21"/>
          <w:lang w:val="en-US" w:eastAsia="zh-CN"/>
        </w:rPr>
        <w:t>4.62</w:t>
      </w:r>
      <w:r>
        <w:rPr>
          <w:rFonts w:hint="eastAsia" w:ascii="仿宋_GB2312" w:hAnsi="仿宋_GB2312" w:eastAsia="仿宋_GB2312" w:cs="Times New Roman"/>
          <w:sz w:val="32"/>
          <w:szCs w:val="21"/>
        </w:rPr>
        <w:t>万元，根据</w:t>
      </w:r>
      <w:r>
        <w:rPr>
          <w:rFonts w:hint="eastAsia" w:ascii="仿宋_GB2312" w:hAnsi="仿宋_GB2312" w:eastAsia="仿宋_GB2312" w:cs="Times New Roman"/>
          <w:sz w:val="32"/>
          <w:szCs w:val="21"/>
          <w:lang w:eastAsia="zh-CN"/>
        </w:rPr>
        <w:t>物业管理</w:t>
      </w:r>
      <w:r>
        <w:rPr>
          <w:rFonts w:hint="eastAsia" w:ascii="仿宋_GB2312" w:hAnsi="仿宋_GB2312" w:eastAsia="仿宋_GB2312" w:cs="Times New Roman"/>
          <w:sz w:val="32"/>
          <w:szCs w:val="21"/>
        </w:rPr>
        <w:t>服务合同，实际应投入</w:t>
      </w:r>
      <w:r>
        <w:rPr>
          <w:rFonts w:hint="eastAsia" w:ascii="仿宋_GB2312" w:hAnsi="仿宋_GB2312" w:eastAsia="仿宋_GB2312" w:cs="Times New Roman"/>
          <w:sz w:val="32"/>
          <w:szCs w:val="21"/>
          <w:lang w:val="en-US" w:eastAsia="zh-CN"/>
        </w:rPr>
        <w:t>4.62</w:t>
      </w:r>
      <w:r>
        <w:rPr>
          <w:rFonts w:hint="eastAsia" w:ascii="仿宋_GB2312" w:hAnsi="仿宋_GB2312" w:eastAsia="仿宋_GB2312" w:cs="Times New Roman"/>
          <w:sz w:val="32"/>
          <w:szCs w:val="21"/>
        </w:rPr>
        <w:t>万元。</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Times New Roman"/>
          <w:sz w:val="32"/>
          <w:szCs w:val="21"/>
        </w:rPr>
        <w:t>根据</w:t>
      </w:r>
      <w:r>
        <w:rPr>
          <w:rFonts w:hint="eastAsia" w:ascii="仿宋_GB2312" w:hAnsi="仿宋_GB2312" w:eastAsia="仿宋_GB2312" w:cs="Times New Roman"/>
          <w:sz w:val="32"/>
          <w:szCs w:val="21"/>
          <w:lang w:eastAsia="zh-CN"/>
        </w:rPr>
        <w:t>相关支付进度等文件</w:t>
      </w:r>
      <w:r>
        <w:rPr>
          <w:rFonts w:hint="eastAsia" w:ascii="仿宋_GB2312" w:hAnsi="仿宋_GB2312" w:eastAsia="仿宋_GB2312" w:cs="Times New Roman"/>
          <w:sz w:val="32"/>
          <w:szCs w:val="21"/>
        </w:rPr>
        <w:t>，</w:t>
      </w:r>
      <w:r>
        <w:rPr>
          <w:rFonts w:hint="eastAsia" w:ascii="仿宋_GB2312" w:hAnsi="仿宋_GB2312" w:eastAsia="仿宋_GB2312"/>
          <w:sz w:val="32"/>
          <w:szCs w:val="32"/>
        </w:rPr>
        <w:t>目前</w:t>
      </w:r>
      <w:r>
        <w:rPr>
          <w:rFonts w:hint="eastAsia" w:ascii="仿宋_GB2312" w:hAnsi="仿宋_GB2312" w:eastAsia="仿宋_GB2312" w:cs="Times New Roman"/>
          <w:sz w:val="32"/>
          <w:szCs w:val="21"/>
        </w:rPr>
        <w:t>乳源瑶族自治县</w:t>
      </w:r>
      <w:r>
        <w:rPr>
          <w:rFonts w:hint="eastAsia" w:ascii="仿宋_GB2312" w:hAnsi="仿宋_GB2312" w:eastAsia="仿宋_GB2312" w:cs="Times New Roman"/>
          <w:sz w:val="32"/>
          <w:szCs w:val="21"/>
          <w:lang w:eastAsia="zh-CN"/>
        </w:rPr>
        <w:t>水土保持巡查费</w:t>
      </w:r>
      <w:r>
        <w:rPr>
          <w:rFonts w:hint="eastAsia" w:ascii="仿宋_GB2312" w:hAnsi="仿宋_GB2312" w:eastAsia="仿宋_GB2312"/>
          <w:sz w:val="32"/>
          <w:szCs w:val="32"/>
        </w:rPr>
        <w:t>已支付款项</w:t>
      </w:r>
      <w:r>
        <w:rPr>
          <w:rFonts w:hint="eastAsia" w:ascii="仿宋_GB2312" w:hAnsi="仿宋_GB2312" w:eastAsia="仿宋_GB2312" w:cs="Times New Roman"/>
          <w:sz w:val="32"/>
          <w:szCs w:val="21"/>
          <w:lang w:val="en-US" w:eastAsia="zh-CN"/>
        </w:rPr>
        <w:t>4.62</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足额完成支付任务</w:t>
      </w:r>
      <w:r>
        <w:rPr>
          <w:rFonts w:hint="eastAsia" w:ascii="仿宋_GB2312" w:hAnsi="仿宋_GB2312" w:eastAsia="仿宋_GB2312"/>
          <w:sz w:val="32"/>
          <w:szCs w:val="32"/>
        </w:rPr>
        <w:t>。</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hint="eastAsia" w:ascii="仿宋_GB2312" w:hAnsi="仿宋_GB2312" w:eastAsia="仿宋_GB2312" w:cs="Times New Roman"/>
          <w:sz w:val="32"/>
          <w:szCs w:val="21"/>
          <w:lang w:eastAsia="zh-CN"/>
        </w:rPr>
      </w:pPr>
      <w:r>
        <w:rPr>
          <w:rFonts w:hint="eastAsia" w:ascii="仿宋_GB2312" w:hAnsi="仿宋_GB2312" w:eastAsia="仿宋_GB2312" w:cs="Times New Roman"/>
          <w:sz w:val="32"/>
          <w:szCs w:val="21"/>
          <w:lang w:eastAsia="zh-CN"/>
        </w:rPr>
        <w:t>本项目为水土保持巡查项目，</w:t>
      </w:r>
      <w:r>
        <w:rPr>
          <w:rFonts w:hint="eastAsia" w:ascii="仿宋_GB2312" w:hAnsi="仿宋_GB2312" w:eastAsia="仿宋_GB2312" w:cs="Times New Roman"/>
          <w:sz w:val="32"/>
          <w:szCs w:val="21"/>
          <w:lang w:val="en-US" w:eastAsia="zh-CN"/>
        </w:rPr>
        <w:t>加强水土流失预防保护，建立水土保持空间管控制度，分类分区采取差别化保护治理措施，抓好水土流失源头防控，以我县流域为单元，加快重点区域水土流失治理，推进河长制建设，要健全水土保持规划体系，加强目标责任考核，加快构建更为完备的监测体系，大力推动水土保持科技创新。</w:t>
      </w:r>
    </w:p>
    <w:p>
      <w:pPr>
        <w:numPr>
          <w:ilvl w:val="0"/>
          <w:numId w:val="2"/>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spacing w:line="360" w:lineRule="auto"/>
        <w:ind w:firstLine="640" w:firstLineChars="200"/>
        <w:rPr>
          <w:rFonts w:hint="eastAsia" w:ascii="仿宋_GB2312" w:hAnsi="仿宋_GB2312" w:eastAsia="仿宋_GB2312" w:cs="Times New Roman"/>
          <w:sz w:val="32"/>
          <w:szCs w:val="21"/>
          <w:lang w:eastAsia="zh-CN"/>
        </w:rPr>
      </w:pPr>
      <w:r>
        <w:rPr>
          <w:rFonts w:hint="eastAsia" w:ascii="仿宋_GB2312" w:hAnsi="仿宋_GB2312" w:eastAsia="仿宋_GB2312" w:cs="Times New Roman"/>
          <w:sz w:val="32"/>
          <w:szCs w:val="21"/>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DF4E"/>
    <w:multiLevelType w:val="singleLevel"/>
    <w:tmpl w:val="2389DF4E"/>
    <w:lvl w:ilvl="0" w:tentative="0">
      <w:start w:val="2"/>
      <w:numFmt w:val="decimal"/>
      <w:suff w:val="nothing"/>
      <w:lvlText w:val="%1、"/>
      <w:lvlJc w:val="left"/>
    </w:lvl>
  </w:abstractNum>
  <w:abstractNum w:abstractNumId="1">
    <w:nsid w:val="26F6144A"/>
    <w:multiLevelType w:val="singleLevel"/>
    <w:tmpl w:val="26F6144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4ZmNkMTAzZDI5MzM1YzJjNjM2MTc1ZTEzYTBjN2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E4461F4"/>
    <w:rsid w:val="1BEA0FB0"/>
    <w:rsid w:val="1C720EDA"/>
    <w:rsid w:val="2A0C3112"/>
    <w:rsid w:val="2BBBC8D2"/>
    <w:rsid w:val="2E56075F"/>
    <w:rsid w:val="39921607"/>
    <w:rsid w:val="3D9F1E4D"/>
    <w:rsid w:val="468762A1"/>
    <w:rsid w:val="4ECFFA1C"/>
    <w:rsid w:val="5375086E"/>
    <w:rsid w:val="55A3713C"/>
    <w:rsid w:val="5DF5BBFE"/>
    <w:rsid w:val="64EC1E8D"/>
    <w:rsid w:val="7FFF218B"/>
    <w:rsid w:val="9FDF8C87"/>
    <w:rsid w:val="F77D4875"/>
    <w:rsid w:val="F91F5886"/>
    <w:rsid w:val="FDF3B0D4"/>
    <w:rsid w:val="FFDD7C8E"/>
    <w:rsid w:val="FFFF3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rPr>
      <w:sz w:val="24"/>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1516</Words>
  <Characters>1546</Characters>
  <Lines>1</Lines>
  <Paragraphs>1</Paragraphs>
  <TotalTime>15</TotalTime>
  <ScaleCrop>false</ScaleCrop>
  <LinksUpToDate>false</LinksUpToDate>
  <CharactersWithSpaces>1550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2016-12-02T15:04:00Z</dcterms:created>
  <dc:creator>lenovo</dc:creator>
  <cp:lastModifiedBy>Astra。</cp:lastModifiedBy>
  <cp:lastPrinted>2023-07-11T15:01:00Z</cp:lastPrinted>
  <dcterms:modified xsi:type="dcterms:W3CDTF">2024-03-27T09:00:29Z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88C9E9F83F63D538D9D403660E1923A2</vt:lpwstr>
  </property>
</Properties>
</file>