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4-1</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44"/>
          <w:szCs w:val="44"/>
        </w:rPr>
      </w:pPr>
      <w:r>
        <w:rPr>
          <w:rFonts w:hint="eastAsia" w:ascii="方正小标宋简体" w:hAnsi="方正小标宋简体" w:eastAsia="方正小标宋简体" w:cs="方正小标宋简体"/>
          <w:b w:val="0"/>
          <w:bCs/>
          <w:sz w:val="44"/>
          <w:szCs w:val="44"/>
        </w:rPr>
        <w:t>乳源瑶族自治县城乡供水一体化建设工程</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b w:val="0"/>
          <w:bCs/>
          <w:sz w:val="36"/>
          <w:szCs w:val="36"/>
        </w:rPr>
      </w:pPr>
      <w:r>
        <w:rPr>
          <w:rFonts w:hint="eastAsia" w:ascii="方正小标宋简体" w:hAnsi="方正小标宋简体" w:eastAsia="方正小标宋简体" w:cs="方正小标宋简体"/>
          <w:b w:val="0"/>
          <w:bCs/>
          <w:sz w:val="44"/>
          <w:szCs w:val="44"/>
        </w:rPr>
        <w:t>项目绩效自评报告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b w:val="0"/>
          <w:bCs/>
          <w:sz w:val="32"/>
          <w:szCs w:val="32"/>
          <w:lang w:val="en-US" w:eastAsia="zh-CN"/>
        </w:rPr>
      </w:pPr>
      <w:r>
        <w:rPr>
          <w:rFonts w:hint="eastAsia" w:ascii="楷体_GB2312" w:hAnsi="楷体_GB2312" w:eastAsia="楷体_GB2312" w:cs="楷体_GB2312"/>
          <w:b w:val="0"/>
          <w:bCs/>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楷体_GB2312" w:hAnsi="楷体_GB2312" w:eastAsia="楷体_GB2312" w:cs="楷体_GB2312"/>
          <w:sz w:val="32"/>
          <w:szCs w:val="32"/>
        </w:rPr>
        <w:t>（一）项目用款单位简要情况。</w:t>
      </w:r>
      <w:r>
        <w:rPr>
          <w:rFonts w:hint="eastAsia" w:ascii="仿宋_GB2312" w:eastAsia="仿宋_GB2312"/>
          <w:sz w:val="32"/>
          <w:szCs w:val="32"/>
        </w:rPr>
        <w:t>水务局是县人民政府工作部门，县水务局设</w:t>
      </w:r>
      <w:r>
        <w:rPr>
          <w:rFonts w:hint="eastAsia" w:ascii="仿宋_GB2312" w:eastAsia="仿宋_GB2312"/>
          <w:sz w:val="32"/>
          <w:szCs w:val="32"/>
          <w:lang w:val="en-US" w:eastAsia="zh-CN"/>
        </w:rPr>
        <w:t>9</w:t>
      </w:r>
      <w:r>
        <w:rPr>
          <w:rFonts w:hint="eastAsia" w:ascii="仿宋_GB2312" w:eastAsia="仿宋_GB2312"/>
          <w:sz w:val="32"/>
          <w:szCs w:val="32"/>
        </w:rPr>
        <w:t>个内设机构：办公室、财务审计股、</w:t>
      </w:r>
      <w:r>
        <w:rPr>
          <w:rFonts w:hint="eastAsia" w:ascii="仿宋_GB2312" w:eastAsia="仿宋_GB2312"/>
          <w:sz w:val="32"/>
          <w:szCs w:val="32"/>
          <w:lang w:eastAsia="zh-CN"/>
        </w:rPr>
        <w:t>规划建设</w:t>
      </w:r>
      <w:r>
        <w:rPr>
          <w:rFonts w:hint="eastAsia" w:ascii="仿宋_GB2312" w:eastAsia="仿宋_GB2312"/>
          <w:sz w:val="32"/>
          <w:szCs w:val="32"/>
        </w:rPr>
        <w:t>管理股、</w:t>
      </w:r>
      <w:r>
        <w:rPr>
          <w:rFonts w:hint="eastAsia" w:ascii="仿宋_GB2312" w:eastAsia="仿宋_GB2312"/>
          <w:sz w:val="32"/>
          <w:szCs w:val="32"/>
          <w:lang w:eastAsia="zh-CN"/>
        </w:rPr>
        <w:t>河湖管理与调度防御股（河长办）、农村水电股、</w:t>
      </w:r>
      <w:r>
        <w:rPr>
          <w:rFonts w:hint="eastAsia" w:ascii="仿宋_GB2312" w:eastAsia="仿宋_GB2312"/>
          <w:sz w:val="32"/>
          <w:szCs w:val="32"/>
        </w:rPr>
        <w:t>水库移民办公室、水政监察大队</w:t>
      </w:r>
      <w:r>
        <w:rPr>
          <w:rFonts w:hint="eastAsia" w:ascii="仿宋_GB2312" w:eastAsia="仿宋_GB2312"/>
          <w:sz w:val="32"/>
          <w:szCs w:val="32"/>
          <w:lang w:eastAsia="zh-CN"/>
        </w:rPr>
        <w:t>、水利水保建设事务中心</w:t>
      </w:r>
      <w:r>
        <w:rPr>
          <w:rFonts w:hint="eastAsia" w:ascii="仿宋_GB2312" w:eastAsia="仿宋_GB2312"/>
          <w:sz w:val="32"/>
          <w:szCs w:val="32"/>
        </w:rPr>
        <w:t>、机电排灌总站、下辖引杨水利管理所、大桥</w:t>
      </w:r>
      <w:r>
        <w:rPr>
          <w:rFonts w:hint="eastAsia" w:ascii="仿宋_GB2312" w:eastAsia="仿宋_GB2312"/>
          <w:sz w:val="32"/>
          <w:szCs w:val="32"/>
          <w:lang w:eastAsia="zh-CN"/>
        </w:rPr>
        <w:t>中心水利管理所、双口水利管理所</w:t>
      </w:r>
      <w:r>
        <w:rPr>
          <w:rFonts w:hint="eastAsia" w:ascii="仿宋_GB2312" w:eastAsia="仿宋_GB2312"/>
          <w:sz w:val="32"/>
          <w:szCs w:val="32"/>
          <w:lang w:val="en-US" w:eastAsia="zh-CN"/>
        </w:rPr>
        <w:t>3</w:t>
      </w:r>
      <w:r>
        <w:rPr>
          <w:rFonts w:hint="eastAsia" w:ascii="仿宋_GB2312" w:eastAsia="仿宋_GB2312"/>
          <w:sz w:val="32"/>
          <w:szCs w:val="32"/>
          <w:lang w:eastAsia="zh-CN"/>
        </w:rPr>
        <w:t>个事业单位。</w:t>
      </w:r>
      <w:r>
        <w:rPr>
          <w:rFonts w:hint="eastAsia" w:ascii="仿宋_GB2312" w:eastAsia="仿宋_GB2312"/>
          <w:sz w:val="32"/>
          <w:szCs w:val="32"/>
          <w:lang w:val="en-US" w:eastAsia="zh-CN"/>
        </w:rPr>
        <w:t>通过项目实施，建成完善农村供水保障体系。通过县城水厂、桂头水厂以及大布水厂往周边农村扩网延伸，实现城乡一体化和规模化农村供水，基本解决了周边农村安全饮用水问题；通过新建大坪供水工程、红云水厂工程以及改造大桥镇水厂等千人以上集中供水工程，解决了石灰岩山区的农村饮水困难问题。通过实施百人以上集中供水工程，改造管网和增加一体化净水设备、消毒设备，提升了水质，提高自来水普及率和水质达标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FF0000"/>
          <w:sz w:val="32"/>
          <w:szCs w:val="32"/>
        </w:rPr>
      </w:pPr>
      <w:r>
        <w:rPr>
          <w:rFonts w:hint="eastAsia" w:ascii="楷体_GB2312" w:hAnsi="楷体_GB2312" w:eastAsia="楷体_GB2312" w:cs="楷体_GB2312"/>
          <w:color w:val="000000" w:themeColor="text1"/>
          <w:sz w:val="32"/>
          <w:szCs w:val="32"/>
          <w14:textFill>
            <w14:solidFill>
              <w14:schemeClr w14:val="tx1"/>
            </w14:solidFill>
          </w14:textFill>
        </w:rPr>
        <w:t>（二）项目实施主要内容及实施程序。</w:t>
      </w:r>
      <w:r>
        <w:rPr>
          <w:rFonts w:hint="eastAsia" w:ascii="仿宋_GB2312" w:eastAsia="仿宋_GB2312"/>
          <w:sz w:val="32"/>
          <w:szCs w:val="32"/>
          <w:lang w:eastAsia="zh-CN"/>
        </w:rPr>
        <w:t>乳源瑶族自治县城乡供水一体化建设工程主要包括乳源瑶族自治县乡镇水厂饮水保障提升工程；乳源瑶族自治县农村供水管网地理信息系统建设工程；乳源瑶族自治县自来水城乡供水一体化主管网提升工程；乳源瑶族自治县老旧小区一户一表及二次供水提升工程；完善全县供水管道及智能水表改造工程；农村集中安全供水工程；大桥水厂、红云水厂建设；桂头水厂整体提升工程；大桥镇、大布镇镇区改造提升工程；城乡千人以下饮水建设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（三）</w:t>
      </w:r>
      <w:r>
        <w:rPr>
          <w:rFonts w:hint="eastAsia" w:ascii="楷体_GB2312" w:hAnsi="楷体_GB2312" w:eastAsia="楷体_GB2312" w:cs="楷体_GB2312"/>
          <w:color w:val="000000" w:themeColor="text1"/>
          <w:sz w:val="32"/>
          <w:szCs w:val="32"/>
          <w:lang w:val="en-US" w:eastAsia="zh-CN"/>
          <w14:textFill>
            <w14:solidFill>
              <w14:schemeClr w14:val="tx1"/>
            </w14:solidFill>
          </w14:textFill>
        </w:rPr>
        <w:t>综</w:t>
      </w:r>
      <w:r>
        <w:rPr>
          <w:rFonts w:hint="eastAsia" w:ascii="楷体_GB2312" w:hAnsi="楷体_GB2312" w:eastAsia="楷体_GB2312" w:cs="楷体_GB2312"/>
          <w:color w:val="000000" w:themeColor="text1"/>
          <w:sz w:val="32"/>
          <w:szCs w:val="32"/>
          <w14:textFill>
            <w14:solidFill>
              <w14:schemeClr w14:val="tx1"/>
            </w14:solidFill>
          </w14:textFill>
        </w:rPr>
        <w:t>述项目自评等级和分数，并对照佐证材料逐一分析。</w:t>
      </w:r>
      <w:r>
        <w:rPr>
          <w:rFonts w:hint="eastAsia" w:ascii="仿宋_GB2312" w:eastAsia="仿宋_GB2312"/>
          <w:color w:val="000000" w:themeColor="text1"/>
          <w:sz w:val="32"/>
          <w:szCs w:val="32"/>
          <w:lang w:val="en-US" w:eastAsia="zh-CN"/>
          <w14:textFill>
            <w14:solidFill>
              <w14:schemeClr w14:val="tx1"/>
            </w14:solidFill>
          </w14:textFill>
        </w:rPr>
        <w:t>对照绩效自评表格，对佐证材料进行分析，本项目</w:t>
      </w:r>
      <w:r>
        <w:rPr>
          <w:rFonts w:hint="eastAsia" w:ascii="仿宋_GB2312" w:eastAsia="仿宋_GB2312"/>
          <w:color w:val="000000" w:themeColor="text1"/>
          <w:sz w:val="32"/>
          <w:szCs w:val="32"/>
          <w14:textFill>
            <w14:solidFill>
              <w14:schemeClr w14:val="tx1"/>
            </w14:solidFill>
          </w14:textFill>
        </w:rPr>
        <w:t>自评得分</w:t>
      </w:r>
      <w:r>
        <w:rPr>
          <w:rFonts w:hint="eastAsia" w:ascii="仿宋_GB2312" w:eastAsia="仿宋_GB2312"/>
          <w:color w:val="000000" w:themeColor="text1"/>
          <w:sz w:val="32"/>
          <w:szCs w:val="32"/>
          <w:lang w:val="en-US" w:eastAsia="zh-CN"/>
          <w14:textFill>
            <w14:solidFill>
              <w14:schemeClr w14:val="tx1"/>
            </w14:solidFill>
          </w14:textFill>
        </w:rPr>
        <w:t>97</w:t>
      </w:r>
      <w:r>
        <w:rPr>
          <w:rFonts w:hint="eastAsia" w:ascii="仿宋_GB2312" w:eastAsia="仿宋_GB2312"/>
          <w:color w:val="000000" w:themeColor="text1"/>
          <w:sz w:val="32"/>
          <w:szCs w:val="32"/>
          <w14:textFill>
            <w14:solidFill>
              <w14:schemeClr w14:val="tx1"/>
            </w14:solidFill>
          </w14:textFill>
        </w:rPr>
        <w:t>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imes New Roman"/>
          <w:b w:val="0"/>
          <w:bCs w:val="0"/>
          <w:color w:val="000000" w:themeColor="text1"/>
          <w:sz w:val="32"/>
          <w:szCs w:val="32"/>
          <w:lang w:val="en-US" w:eastAsia="zh-CN"/>
          <w14:textFill>
            <w14:solidFill>
              <w14:schemeClr w14:val="tx1"/>
            </w14:solidFill>
          </w14:textFill>
        </w:rPr>
      </w:pPr>
      <w:r>
        <w:rPr>
          <w:rFonts w:hint="eastAsia" w:ascii="仿宋_GB2312" w:eastAsia="仿宋_GB2312" w:cs="Times New Roman"/>
          <w:b w:val="0"/>
          <w:bCs w:val="0"/>
          <w:color w:val="000000" w:themeColor="text1"/>
          <w:sz w:val="32"/>
          <w:szCs w:val="32"/>
          <w:lang w:val="en-US" w:eastAsia="zh-CN"/>
          <w14:textFill>
            <w14:solidFill>
              <w14:schemeClr w14:val="tx1"/>
            </w14:solidFill>
          </w14:textFill>
        </w:rPr>
        <w:t>1.</w:t>
      </w:r>
      <w:r>
        <w:rPr>
          <w:rFonts w:hint="eastAsia" w:ascii="仿宋_GB2312" w:eastAsia="仿宋_GB2312" w:cs="Times New Roman"/>
          <w:b w:val="0"/>
          <w:bCs w:val="0"/>
          <w:color w:val="000000" w:themeColor="text1"/>
          <w:sz w:val="32"/>
          <w:szCs w:val="32"/>
          <w:lang w:eastAsia="zh-CN"/>
          <w14:textFill>
            <w14:solidFill>
              <w14:schemeClr w14:val="tx1"/>
            </w14:solidFill>
          </w14:textFill>
        </w:rPr>
        <w:t>项目投入阶段，投入阶段总得分</w:t>
      </w:r>
      <w:r>
        <w:rPr>
          <w:rFonts w:hint="eastAsia" w:ascii="仿宋_GB2312" w:eastAsia="仿宋_GB2312" w:cs="Times New Roman"/>
          <w:b w:val="0"/>
          <w:bCs w:val="0"/>
          <w:color w:val="000000" w:themeColor="text1"/>
          <w:sz w:val="32"/>
          <w:szCs w:val="32"/>
          <w:lang w:val="en-US" w:eastAsia="zh-CN"/>
          <w14:textFill>
            <w14:solidFill>
              <w14:schemeClr w14:val="tx1"/>
            </w14:solidFill>
          </w14:textFill>
        </w:rPr>
        <w:t>20分，自评得分19分。在论证充分性方面，根据乳源县财政局《关于下达2023年4月地方政府新增政府债券资金的通知》（乳财金〔2023〕3号）、《关于下达2023年8月地方政府新增政府债券资金的通知》（乳财金〔2023〕4号）、《关于下达2023年8月下旬地方政府新增政府债券资金的通知》（乳财金〔2023〕5号）文件要求，我局委托第三方检测水质水源，</w:t>
      </w:r>
      <w:r>
        <w:rPr>
          <w:rFonts w:hint="eastAsia" w:ascii="仿宋_GB2312" w:eastAsia="仿宋_GB2312"/>
          <w:color w:val="000000" w:themeColor="text1"/>
          <w:sz w:val="32"/>
          <w:szCs w:val="32"/>
          <w:lang w:val="en-US" w:eastAsia="zh-CN"/>
          <w14:textFill>
            <w14:solidFill>
              <w14:schemeClr w14:val="tx1"/>
            </w14:solidFill>
          </w14:textFill>
        </w:rPr>
        <w:t>同时该项目也通过了县水务局局务会议审议，由我局事务中心作为业主单位实施，所以该项目前期已经过集体会议协商、并咨询相关专家意见、且有相应的文字材料。</w:t>
      </w:r>
      <w:r>
        <w:rPr>
          <w:rFonts w:hint="eastAsia" w:ascii="仿宋_GB2312" w:eastAsia="仿宋_GB2312" w:cs="Times New Roman"/>
          <w:b w:val="0"/>
          <w:bCs w:val="0"/>
          <w:color w:val="000000" w:themeColor="text1"/>
          <w:sz w:val="32"/>
          <w:szCs w:val="32"/>
          <w:lang w:val="en-US" w:eastAsia="zh-CN"/>
          <w14:textFill>
            <w14:solidFill>
              <w14:schemeClr w14:val="tx1"/>
            </w14:solidFill>
          </w14:textFill>
        </w:rPr>
        <w:t>对应四级指标论证充分性，得分4分。在目标设置方面，依据相关基础信息和各镇上报的需要除险加固的水库设施，制定该项目的绩效考核目标，绩效目标是与资金或项目属性特点、支出内容相关，能够体现决策意图，合乎客观实际。对应三级指标目标设置，得分5分。在保障措施方面，我局在项目实施前制定了安全生产监督实施细则，制定相关工作进度计划。对应三级指标保障措施方面，得分2分。在资金落实方面，根据相关资金下达文件，相应资金及时的全额下达，同时我局也制定资金使用的明细，对应二级指标资金落实，得分8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s="Times New Roman"/>
          <w:color w:val="000000" w:themeColor="text1"/>
          <w:sz w:val="32"/>
          <w:szCs w:val="32"/>
          <w:lang w:val="en-US" w:eastAsia="zh-CN"/>
          <w14:textFill>
            <w14:solidFill>
              <w14:schemeClr w14:val="tx1"/>
            </w14:solidFill>
          </w14:textFill>
        </w:rPr>
      </w:pPr>
      <w:r>
        <w:rPr>
          <w:rFonts w:hint="eastAsia" w:ascii="仿宋_GB2312" w:eastAsia="仿宋_GB2312" w:cs="Times New Roman"/>
          <w:b w:val="0"/>
          <w:bCs w:val="0"/>
          <w:color w:val="000000" w:themeColor="text1"/>
          <w:sz w:val="32"/>
          <w:szCs w:val="32"/>
          <w:lang w:val="en-US" w:eastAsia="zh-CN"/>
          <w14:textFill>
            <w14:solidFill>
              <w14:schemeClr w14:val="tx1"/>
            </w14:solidFill>
          </w14:textFill>
        </w:rPr>
        <w:t>2.</w:t>
      </w:r>
      <w:r>
        <w:rPr>
          <w:rFonts w:hint="eastAsia" w:ascii="仿宋_GB2312" w:eastAsia="仿宋_GB2312" w:cs="Times New Roman"/>
          <w:b w:val="0"/>
          <w:bCs w:val="0"/>
          <w:color w:val="000000" w:themeColor="text1"/>
          <w:sz w:val="32"/>
          <w:szCs w:val="32"/>
          <w:lang w:eastAsia="zh-CN"/>
          <w14:textFill>
            <w14:solidFill>
              <w14:schemeClr w14:val="tx1"/>
            </w14:solidFill>
          </w14:textFill>
        </w:rPr>
        <w:t>项目过程模块，该模块总得分</w:t>
      </w:r>
      <w:r>
        <w:rPr>
          <w:rFonts w:hint="eastAsia" w:ascii="仿宋_GB2312" w:eastAsia="仿宋_GB2312" w:cs="Times New Roman"/>
          <w:b w:val="0"/>
          <w:bCs w:val="0"/>
          <w:color w:val="000000" w:themeColor="text1"/>
          <w:sz w:val="32"/>
          <w:szCs w:val="32"/>
          <w:lang w:val="en-US" w:eastAsia="zh-CN"/>
          <w14:textFill>
            <w14:solidFill>
              <w14:schemeClr w14:val="tx1"/>
            </w14:solidFill>
          </w14:textFill>
        </w:rPr>
        <w:t>20分，自评得分20分。在资金管理方面，已下达项目资金7660万元，已全部支付完成，并有相应的支付明细，支付凭证等材料佐证，资金管理、费用标准、支付符合有关制度规定，未出现超范围、超标准支出，虚列支出，截留挤占、挪用资金的，以及其他不符合制度规定支出的对应二级指标资金管理，得分12分。在事项管理方面，该</w:t>
      </w:r>
      <w:r>
        <w:rPr>
          <w:rFonts w:hint="eastAsia" w:ascii="仿宋_GB2312" w:eastAsia="仿宋_GB2312" w:cs="Times New Roman"/>
          <w:color w:val="000000" w:themeColor="text1"/>
          <w:sz w:val="32"/>
          <w:szCs w:val="32"/>
          <w:lang w:val="en-US" w:eastAsia="zh-CN"/>
          <w14:textFill>
            <w14:solidFill>
              <w14:schemeClr w14:val="tx1"/>
            </w14:solidFill>
          </w14:textFill>
        </w:rPr>
        <w:t>项目按规定程序实施，制定了项目法人实施方案，安全质量监督体系。项目调整按规定履行报批手续，项目招投标、建设、验收等或方案实施严格执行相关制度规定的，该项目建立有效管理机制，且执行情况良好，同时根据上级水行政主管部门对实施项目开展有效的检查、监控、督促整改，对应二级考核指标事项管理，得分8分。</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s="Times New Roman"/>
          <w:b w:val="0"/>
          <w:bCs w:val="0"/>
          <w:color w:val="000000" w:themeColor="text1"/>
          <w:sz w:val="32"/>
          <w:szCs w:val="32"/>
          <w:lang w:val="en-US" w:eastAsia="zh-CN"/>
          <w14:textFill>
            <w14:solidFill>
              <w14:schemeClr w14:val="tx1"/>
            </w14:solidFill>
          </w14:textFill>
        </w:rPr>
        <w:t>3.</w:t>
      </w:r>
      <w:r>
        <w:rPr>
          <w:rFonts w:hint="eastAsia" w:ascii="仿宋_GB2312" w:eastAsia="仿宋_GB2312" w:cs="Times New Roman"/>
          <w:b w:val="0"/>
          <w:bCs w:val="0"/>
          <w:color w:val="000000" w:themeColor="text1"/>
          <w:sz w:val="32"/>
          <w:szCs w:val="32"/>
          <w:lang w:eastAsia="zh-CN"/>
          <w14:textFill>
            <w14:solidFill>
              <w14:schemeClr w14:val="tx1"/>
            </w14:solidFill>
          </w14:textFill>
        </w:rPr>
        <w:t>项目产出模块，该模块得分</w:t>
      </w:r>
      <w:r>
        <w:rPr>
          <w:rFonts w:hint="eastAsia" w:ascii="仿宋_GB2312" w:eastAsia="仿宋_GB2312" w:cs="Times New Roman"/>
          <w:b w:val="0"/>
          <w:bCs w:val="0"/>
          <w:color w:val="000000" w:themeColor="text1"/>
          <w:sz w:val="32"/>
          <w:szCs w:val="32"/>
          <w:lang w:val="en-US" w:eastAsia="zh-CN"/>
          <w14:textFill>
            <w14:solidFill>
              <w14:schemeClr w14:val="tx1"/>
            </w14:solidFill>
          </w14:textFill>
        </w:rPr>
        <w:t>30分，自评得分30分。我局在预算执行进度与事项完成进度基本匹配前提下，项目的投入未超过预算，并有相应的资金支付明细，支付凭证作为佐证材料，我局要求项目造价咨询单位严格按照乳源瑶族自治县市场指导信息价，对项目概算、预算进行审核，控制项目成本，</w:t>
      </w:r>
      <w:r>
        <w:rPr>
          <w:rFonts w:hint="eastAsia" w:ascii="仿宋_GB2312" w:eastAsia="仿宋_GB2312"/>
          <w:color w:val="000000" w:themeColor="text1"/>
          <w:sz w:val="32"/>
          <w:szCs w:val="32"/>
          <w:lang w:val="en-US" w:eastAsia="zh-CN"/>
          <w14:textFill>
            <w14:solidFill>
              <w14:schemeClr w14:val="tx1"/>
            </w14:solidFill>
          </w14:textFill>
        </w:rPr>
        <w:t>项目总投资为7660万元。</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eastAsia="仿宋_GB2312" w:cs="Times New Roman"/>
          <w:b/>
          <w:bCs/>
          <w:color w:val="000000" w:themeColor="text1"/>
          <w:sz w:val="32"/>
          <w:szCs w:val="32"/>
          <w:lang w:val="en-US" w:eastAsia="zh-CN"/>
          <w14:textFill>
            <w14:solidFill>
              <w14:schemeClr w14:val="tx1"/>
            </w14:solidFill>
          </w14:textFill>
        </w:rPr>
      </w:pPr>
      <w:r>
        <w:rPr>
          <w:rFonts w:hint="eastAsia" w:ascii="仿宋_GB2312" w:eastAsia="仿宋_GB2312" w:cs="Times New Roman"/>
          <w:b w:val="0"/>
          <w:bCs w:val="0"/>
          <w:color w:val="000000" w:themeColor="text1"/>
          <w:sz w:val="32"/>
          <w:szCs w:val="32"/>
          <w:lang w:val="en-US" w:eastAsia="zh-CN"/>
          <w14:textFill>
            <w14:solidFill>
              <w14:schemeClr w14:val="tx1"/>
            </w14:solidFill>
          </w14:textFill>
        </w:rPr>
        <w:t>4.项目效益模块，该模块得分30分，自评得分28分</w:t>
      </w:r>
      <w:r>
        <w:rPr>
          <w:rFonts w:hint="eastAsia" w:ascii="仿宋_GB2312" w:eastAsia="仿宋_GB2312" w:cs="Times New Roman"/>
          <w:b/>
          <w:bCs/>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default" w:ascii="仿宋_GB2312" w:eastAsia="仿宋_GB2312" w:cs="Times New Roman"/>
          <w:b w:val="0"/>
          <w:bCs w:val="0"/>
          <w:color w:val="000000" w:themeColor="text1"/>
          <w:sz w:val="32"/>
          <w:szCs w:val="32"/>
          <w:lang w:val="en-US" w:eastAsia="zh-CN"/>
          <w14:textFill>
            <w14:solidFill>
              <w14:schemeClr w14:val="tx1"/>
            </w14:solidFill>
          </w14:textFill>
        </w:rPr>
      </w:pPr>
      <w:r>
        <w:rPr>
          <w:rFonts w:hint="eastAsia" w:ascii="仿宋_GB2312" w:eastAsia="仿宋_GB2312" w:cs="Times New Roman"/>
          <w:b w:val="0"/>
          <w:bCs w:val="0"/>
          <w:color w:val="000000" w:themeColor="text1"/>
          <w:sz w:val="32"/>
          <w:szCs w:val="32"/>
          <w:lang w:val="en-US" w:eastAsia="zh-CN"/>
          <w14:textFill>
            <w14:solidFill>
              <w14:schemeClr w14:val="tx1"/>
            </w14:solidFill>
          </w14:textFill>
        </w:rPr>
        <w:t>项目建设能够有效解决城乡饮水安全问题，形成双水源安全供水，互为备用的供水格局，同时保障居民社会生活平稳，所以经济效益、社会效益两个指标得分分别为5分和10分。该项目</w:t>
      </w:r>
      <w:bookmarkStart w:id="0" w:name="_GoBack"/>
      <w:bookmarkEnd w:id="0"/>
      <w:r>
        <w:rPr>
          <w:rFonts w:hint="eastAsia" w:ascii="仿宋_GB2312" w:eastAsia="仿宋_GB2312" w:cs="Times New Roman"/>
          <w:b w:val="0"/>
          <w:bCs w:val="0"/>
          <w:color w:val="000000" w:themeColor="text1"/>
          <w:sz w:val="32"/>
          <w:szCs w:val="32"/>
          <w:lang w:val="en-US" w:eastAsia="zh-CN"/>
          <w14:textFill>
            <w14:solidFill>
              <w14:schemeClr w14:val="tx1"/>
            </w14:solidFill>
          </w14:textFill>
        </w:rPr>
        <w:t>的落实能够使得山塘水库</w:t>
      </w:r>
      <w:r>
        <w:rPr>
          <w:rFonts w:hint="eastAsia" w:ascii="仿宋_GB2312" w:eastAsia="仿宋_GB2312" w:cs="Times New Roman"/>
          <w:color w:val="000000" w:themeColor="text1"/>
          <w:sz w:val="32"/>
          <w:szCs w:val="32"/>
          <w:lang w:val="en-US" w:eastAsia="zh-CN"/>
          <w14:textFill>
            <w14:solidFill>
              <w14:schemeClr w14:val="tx1"/>
            </w14:solidFill>
          </w14:textFill>
        </w:rPr>
        <w:t>保护当地居民能力有所提升，该项目社会效益指标得分达标。该项目的建设有效为农村居民提供安全优质自来水</w:t>
      </w:r>
      <w:r>
        <w:rPr>
          <w:rFonts w:hint="eastAsia" w:ascii="仿宋_GB2312" w:hAnsi="仿宋_GB2312" w:eastAsia="仿宋_GB2312" w:cs="仿宋_GB2312"/>
          <w:color w:val="000000" w:themeColor="text1"/>
          <w:kern w:val="0"/>
          <w:sz w:val="32"/>
          <w:szCs w:val="32"/>
          <w:lang w:val="en-US" w:eastAsia="zh-CN" w:bidi="ar"/>
          <w14:textFill>
            <w14:solidFill>
              <w14:schemeClr w14:val="tx1"/>
            </w14:solidFill>
          </w14:textFill>
        </w:rPr>
        <w:t>，该项目生态效益指标得分4分。项目建设能够改善农村居民饮水质量，可持续发展指标得分4分。项目建设</w:t>
      </w:r>
      <w:r>
        <w:rPr>
          <w:rFonts w:hint="eastAsia" w:ascii="仿宋_GB2312" w:eastAsia="仿宋_GB2312"/>
          <w:color w:val="000000" w:themeColor="text1"/>
          <w:sz w:val="32"/>
          <w:szCs w:val="32"/>
          <w:lang w:val="en-US" w:eastAsia="zh-CN"/>
          <w14:textFill>
            <w14:solidFill>
              <w14:schemeClr w14:val="tx1"/>
            </w14:solidFill>
          </w14:textFill>
        </w:rPr>
        <w:t>保障各乡镇、灌区附近农业高产、稳产，形成良性循环，该项目群众满意度较高，该项目服务对象满意度指标得分5分。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二、绩效表现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000000" w:themeColor="text1"/>
          <w:sz w:val="32"/>
          <w:szCs w:val="32"/>
          <w14:textFill>
            <w14:solidFill>
              <w14:schemeClr w14:val="tx1"/>
            </w14:solidFill>
          </w14:textFill>
        </w:rPr>
      </w:pPr>
      <w:r>
        <w:rPr>
          <w:rFonts w:hint="eastAsia" w:ascii="楷体_GB2312" w:hAnsi="楷体_GB2312" w:eastAsia="楷体_GB2312" w:cs="楷体_GB2312"/>
          <w:color w:val="000000" w:themeColor="text1"/>
          <w:sz w:val="32"/>
          <w:szCs w:val="32"/>
          <w14:textFill>
            <w14:solidFill>
              <w14:schemeClr w14:val="tx1"/>
            </w14:solidFill>
          </w14:textFill>
        </w:rPr>
        <w:t>（一）资金使用绩效。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1</w:t>
      </w:r>
      <w:r>
        <w:rPr>
          <w:rFonts w:hint="eastAsia" w:ascii="仿宋_GB2312" w:hAnsi="仿宋_GB2312" w:eastAsia="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olor w:val="000000" w:themeColor="text1"/>
          <w:sz w:val="32"/>
          <w:szCs w:val="32"/>
          <w14:textFill>
            <w14:solidFill>
              <w14:schemeClr w14:val="tx1"/>
            </w14:solidFill>
          </w14:textFill>
        </w:rPr>
        <w:t>项目资金实际总投入情况。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21"/>
          <w14:textFill>
            <w14:solidFill>
              <w14:schemeClr w14:val="tx1"/>
            </w14:solidFill>
          </w14:textFill>
        </w:rPr>
        <w:t>本年度申请的资金全部及时足额到位，根据工作安排，</w:t>
      </w:r>
      <w:r>
        <w:rPr>
          <w:rFonts w:hint="eastAsia" w:ascii="仿宋_GB2312" w:hAnsi="仿宋_GB2312" w:eastAsia="仿宋_GB2312"/>
          <w:color w:val="000000" w:themeColor="text1"/>
          <w:sz w:val="32"/>
          <w:szCs w:val="21"/>
          <w:lang w:val="en-US" w:eastAsia="zh-CN"/>
          <w14:textFill>
            <w14:solidFill>
              <w14:schemeClr w14:val="tx1"/>
            </w14:solidFill>
          </w14:textFill>
        </w:rPr>
        <w:t>我局</w:t>
      </w:r>
      <w:r>
        <w:rPr>
          <w:rFonts w:hint="eastAsia" w:ascii="仿宋_GB2312" w:hAnsi="仿宋_GB2312" w:eastAsia="仿宋_GB2312"/>
          <w:color w:val="000000" w:themeColor="text1"/>
          <w:sz w:val="32"/>
          <w:szCs w:val="21"/>
          <w14:textFill>
            <w14:solidFill>
              <w14:schemeClr w14:val="tx1"/>
            </w14:solidFill>
          </w14:textFill>
        </w:rPr>
        <w:t>组织公开招标工作，并与中标单位签订了政府采购合同。整个资金支付符合我局与县财政支付要求和程序，支付进度基本符合预期，资金使用做到公开透明，支付凭证齐备，经得起审计和检查。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lang w:val="en-US" w:eastAsia="zh-CN"/>
          <w14:textFill>
            <w14:solidFill>
              <w14:schemeClr w14:val="tx1"/>
            </w14:solidFill>
          </w14:textFill>
        </w:rPr>
        <w:t>2.</w:t>
      </w:r>
      <w:r>
        <w:rPr>
          <w:rFonts w:hint="eastAsia" w:ascii="仿宋_GB2312" w:hAnsi="仿宋_GB2312" w:eastAsia="仿宋_GB2312"/>
          <w:color w:val="000000" w:themeColor="text1"/>
          <w:sz w:val="32"/>
          <w:szCs w:val="32"/>
          <w14:textFill>
            <w14:solidFill>
              <w14:schemeClr w14:val="tx1"/>
            </w14:solidFill>
          </w14:textFill>
        </w:rPr>
        <w:t>项目资金实际支出情况，具体详细说明。</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olor w:val="000000" w:themeColor="text1"/>
          <w:sz w:val="32"/>
          <w:szCs w:val="32"/>
          <w:lang w:val="en-US" w:eastAsia="zh-CN"/>
          <w14:textFill>
            <w14:solidFill>
              <w14:schemeClr w14:val="tx1"/>
            </w14:solidFill>
          </w14:textFill>
        </w:rPr>
        <w:t>乳源瑶族自治县城乡供水一体化建设工程项目共</w:t>
      </w:r>
      <w:r>
        <w:rPr>
          <w:rFonts w:hint="eastAsia" w:ascii="仿宋_GB2312" w:eastAsia="仿宋_GB2312" w:cs="Times New Roman"/>
          <w:b w:val="0"/>
          <w:bCs w:val="0"/>
          <w:color w:val="000000" w:themeColor="text1"/>
          <w:sz w:val="32"/>
          <w:szCs w:val="32"/>
          <w:lang w:val="en-US" w:eastAsia="zh-CN"/>
          <w14:textFill>
            <w14:solidFill>
              <w14:schemeClr w14:val="tx1"/>
            </w14:solidFill>
          </w14:textFill>
        </w:rPr>
        <w:t>下达项目资金7660万元，已全部支付完成，并有相应的支付明细，支付凭证等材料佐证。</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3</w:t>
      </w:r>
      <w:r>
        <w:rPr>
          <w:rFonts w:hint="eastAsia" w:ascii="仿宋_GB2312" w:hAnsi="仿宋_GB2312" w:eastAsia="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olor w:val="000000" w:themeColor="text1"/>
          <w:sz w:val="32"/>
          <w:szCs w:val="32"/>
          <w14:textFill>
            <w14:solidFill>
              <w14:schemeClr w14:val="tx1"/>
            </w14:solidFill>
          </w14:textFill>
        </w:rPr>
        <w:t>项目的绩效目标</w:t>
      </w:r>
      <w:r>
        <w:rPr>
          <w:rFonts w:hint="eastAsia" w:ascii="仿宋_GB2312" w:hAnsi="仿宋_GB2312" w:eastAsia="仿宋_GB2312"/>
          <w:color w:val="000000" w:themeColor="text1"/>
          <w:sz w:val="32"/>
          <w:szCs w:val="32"/>
          <w:lang w:val="en-US" w:eastAsia="zh-CN"/>
          <w14:textFill>
            <w14:solidFill>
              <w14:schemeClr w14:val="tx1"/>
            </w14:solidFill>
          </w14:textFill>
        </w:rPr>
        <w:t>完成情况</w:t>
      </w:r>
      <w:r>
        <w:rPr>
          <w:rFonts w:hint="eastAsia" w:ascii="仿宋_GB2312" w:hAnsi="仿宋_GB2312" w:eastAsia="仿宋_GB2312"/>
          <w:color w:val="000000" w:themeColor="text1"/>
          <w:sz w:val="32"/>
          <w:szCs w:val="32"/>
          <w14:textFill>
            <w14:solidFill>
              <w14:schemeClr w14:val="tx1"/>
            </w14:solidFill>
          </w14:textFill>
        </w:rPr>
        <w:t>（经济、政治和社会效益）。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000000" w:themeColor="text1"/>
          <w:sz w:val="32"/>
          <w:szCs w:val="32"/>
          <w:lang w:val="en-US" w:eastAsia="zh-CN"/>
          <w14:textFill>
            <w14:solidFill>
              <w14:schemeClr w14:val="tx1"/>
            </w14:solidFill>
          </w14:textFill>
        </w:rPr>
      </w:pPr>
      <w:r>
        <w:rPr>
          <w:rFonts w:hint="eastAsia" w:ascii="仿宋_GB2312" w:hAnsi="仿宋_GB2312" w:eastAsia="仿宋_GB2312"/>
          <w:color w:val="000000" w:themeColor="text1"/>
          <w:sz w:val="32"/>
          <w:szCs w:val="32"/>
          <w:lang w:val="en-US" w:eastAsia="zh-CN"/>
          <w14:textFill>
            <w14:solidFill>
              <w14:schemeClr w14:val="tx1"/>
            </w14:solidFill>
          </w14:textFill>
        </w:rPr>
        <w:t>该项目绩效目标已基本到，实施农村供水水质提升专项行动，确保水质安全。</w:t>
      </w:r>
      <w:r>
        <w:rPr>
          <w:rFonts w:hint="eastAsia" w:ascii="仿宋_GB2312" w:hAnsi="仿宋_GB2312" w:eastAsia="仿宋_GB2312"/>
          <w:color w:val="000000" w:themeColor="text1"/>
          <w:sz w:val="32"/>
          <w:szCs w:val="32"/>
          <w:lang w:val="en-US" w:eastAsia="zh-CN"/>
        </w:rPr>
        <w:t>在社会效益方面，有效</w:t>
      </w:r>
      <w:r>
        <w:rPr>
          <w:rFonts w:hint="eastAsia" w:ascii="仿宋_GB2312" w:hAnsi="仿宋_GB2312" w:eastAsia="仿宋_GB2312"/>
          <w:color w:val="000000" w:themeColor="text1"/>
          <w:sz w:val="32"/>
          <w:szCs w:val="32"/>
          <w:lang w:val="en-US" w:eastAsia="zh-CN"/>
          <w14:textFill>
            <w14:solidFill>
              <w14:schemeClr w14:val="tx1"/>
            </w14:solidFill>
          </w14:textFill>
        </w:rPr>
        <w:t>加快推进农村饮用水水源保护区的划定，配套完善净化消毒设施设备，健全从水源源头到水龙头全过程的水质保障体系。</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olor w:val="000000" w:themeColor="text1"/>
          <w:sz w:val="32"/>
          <w:szCs w:val="32"/>
          <w14:textFill>
            <w14:solidFill>
              <w14:schemeClr w14:val="tx1"/>
            </w14:solidFill>
          </w14:textFill>
        </w:rPr>
      </w:pPr>
      <w:r>
        <w:rPr>
          <w:rFonts w:hint="eastAsia" w:ascii="仿宋_GB2312" w:hAnsi="仿宋_GB2312" w:eastAsia="仿宋_GB2312"/>
          <w:color w:val="000000" w:themeColor="text1"/>
          <w:sz w:val="32"/>
          <w:szCs w:val="32"/>
          <w14:textFill>
            <w14:solidFill>
              <w14:schemeClr w14:val="tx1"/>
            </w14:solidFill>
          </w14:textFill>
        </w:rPr>
        <w:t>4</w:t>
      </w:r>
      <w:r>
        <w:rPr>
          <w:rFonts w:hint="eastAsia" w:ascii="仿宋_GB2312" w:hAnsi="仿宋_GB2312" w:eastAsia="仿宋_GB2312"/>
          <w:color w:val="000000" w:themeColor="text1"/>
          <w:sz w:val="32"/>
          <w:szCs w:val="32"/>
          <w:lang w:val="en-US" w:eastAsia="zh-CN"/>
          <w14:textFill>
            <w14:solidFill>
              <w14:schemeClr w14:val="tx1"/>
            </w14:solidFill>
          </w14:textFill>
        </w:rPr>
        <w:t>.</w:t>
      </w:r>
      <w:r>
        <w:rPr>
          <w:rFonts w:hint="eastAsia" w:ascii="仿宋_GB2312" w:hAnsi="仿宋_GB2312" w:eastAsia="仿宋_GB2312"/>
          <w:color w:val="000000" w:themeColor="text1"/>
          <w:sz w:val="32"/>
          <w:szCs w:val="32"/>
          <w14:textFill>
            <w14:solidFill>
              <w14:schemeClr w14:val="tx1"/>
            </w14:solidFill>
          </w14:textFill>
        </w:rPr>
        <w:t>项目资金使用效益，对环境、经济、社会的可持续影响。</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乳源瑶族自治县城乡供水一体化建设工程项目，为提高农村集中供水水质，优化乳源县农村供水格局，保障农村饮用水安全，全面提升农村供水保障水平，解决农村饮水各类问题，让广大农民群众喝上干净水、放心水、幸福水。</w:t>
      </w:r>
    </w:p>
    <w:p>
      <w:pPr>
        <w:spacing w:line="360" w:lineRule="auto"/>
        <w:ind w:firstLine="640" w:firstLineChars="200"/>
        <w:rPr>
          <w:rFonts w:hint="eastAsia" w:ascii="黑体" w:eastAsia="黑体"/>
          <w:color w:val="000000" w:themeColor="text1"/>
          <w:sz w:val="32"/>
          <w:szCs w:val="32"/>
        </w:rPr>
      </w:pPr>
      <w:r>
        <w:rPr>
          <w:rFonts w:hint="eastAsia" w:ascii="黑体" w:eastAsia="黑体"/>
          <w:color w:val="000000" w:themeColor="text1"/>
          <w:sz w:val="32"/>
          <w:szCs w:val="32"/>
          <w:lang w:val="en-US" w:eastAsia="zh-CN"/>
        </w:rPr>
        <w:t>三、</w:t>
      </w:r>
      <w:r>
        <w:rPr>
          <w:rFonts w:hint="eastAsia" w:ascii="黑体" w:eastAsia="黑体"/>
          <w:color w:val="000000" w:themeColor="text1"/>
          <w:sz w:val="32"/>
          <w:szCs w:val="32"/>
          <w:lang w:val="en-US" w:eastAsia="zh-CN"/>
        </w:rPr>
        <w:t>改</w:t>
      </w:r>
      <w:r>
        <w:rPr>
          <w:rFonts w:hint="eastAsia" w:ascii="黑体" w:eastAsia="黑体"/>
          <w:color w:val="000000" w:themeColor="text1"/>
          <w:sz w:val="32"/>
          <w:szCs w:val="32"/>
        </w:rPr>
        <w:t>进意见</w:t>
      </w:r>
    </w:p>
    <w:p>
      <w:pPr>
        <w:numPr>
          <w:ilvl w:val="0"/>
          <w:numId w:val="0"/>
        </w:numPr>
        <w:spacing w:line="360" w:lineRule="auto"/>
        <w:rPr>
          <w:rFonts w:hint="default"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无。</w:t>
      </w:r>
    </w:p>
    <w:p>
      <w:pPr>
        <w:spacing w:line="360" w:lineRule="auto"/>
        <w:ind w:firstLine="640" w:firstLineChars="200"/>
        <w:rPr>
          <w:rFonts w:hint="eastAsia" w:ascii="黑体" w:eastAsia="黑体"/>
          <w:color w:val="000000" w:themeColor="text1"/>
          <w:sz w:val="32"/>
          <w:szCs w:val="32"/>
          <w14:textFill>
            <w14:solidFill>
              <w14:schemeClr w14:val="tx1"/>
            </w14:solidFill>
          </w14:textFill>
        </w:rPr>
      </w:pPr>
      <w:r>
        <w:rPr>
          <w:rFonts w:hint="eastAsia" w:ascii="黑体" w:eastAsia="黑体"/>
          <w:color w:val="000000" w:themeColor="text1"/>
          <w:sz w:val="32"/>
          <w:szCs w:val="32"/>
          <w:lang w:eastAsia="zh-CN"/>
          <w14:textFill>
            <w14:solidFill>
              <w14:schemeClr w14:val="tx1"/>
            </w14:solidFill>
          </w14:textFill>
        </w:rPr>
        <w:t>四、</w:t>
      </w:r>
      <w:r>
        <w:rPr>
          <w:rFonts w:hint="eastAsia" w:ascii="黑体" w:eastAsia="黑体"/>
          <w:color w:val="000000" w:themeColor="text1"/>
          <w:sz w:val="32"/>
          <w:szCs w:val="32"/>
          <w14:textFill>
            <w14:solidFill>
              <w14:schemeClr w14:val="tx1"/>
            </w14:solidFill>
          </w14:textFill>
        </w:rPr>
        <w:t>其他需要说明的情况</w:t>
      </w:r>
    </w:p>
    <w:p>
      <w:pPr>
        <w:spacing w:line="360" w:lineRule="auto"/>
        <w:ind w:firstLine="640" w:firstLineChars="200"/>
        <w:rPr>
          <w:rFonts w:hint="default" w:ascii="仿宋_GB2312" w:eastAsia="仿宋_GB2312"/>
          <w:color w:val="000000" w:themeColor="text1"/>
          <w:sz w:val="32"/>
          <w:szCs w:val="32"/>
          <w:lang w:val="en-US" w:eastAsia="zh-CN"/>
          <w14:textFill>
            <w14:solidFill>
              <w14:schemeClr w14:val="tx1"/>
            </w14:solidFill>
          </w14:textFill>
        </w:rPr>
      </w:pPr>
      <w:r>
        <w:rPr>
          <w:rFonts w:hint="eastAsia" w:ascii="仿宋_GB2312" w:eastAsia="仿宋_GB2312"/>
          <w:color w:val="000000" w:themeColor="text1"/>
          <w:sz w:val="32"/>
          <w:szCs w:val="32"/>
          <w:lang w:val="en-US" w:eastAsia="zh-CN"/>
          <w14:textFill>
            <w14:solidFill>
              <w14:schemeClr w14:val="tx1"/>
            </w14:solidFill>
          </w14:textFill>
        </w:rPr>
        <w:t>无其他需要说明的情况。</w:t>
      </w:r>
    </w:p>
    <w:sectPr>
      <w:footerReference r:id="rId3" w:type="default"/>
      <w:pgSz w:w="11906" w:h="16838"/>
      <w:pgMar w:top="1440" w:right="1800" w:bottom="1440" w:left="126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2049" o:spid="_x0000_s2049"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2"/>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DIwN2UzOTY3MzU4NmI3YzJhM2E5OTEwYzY0MGUwNz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8FE2336"/>
    <w:rsid w:val="0FC728E8"/>
    <w:rsid w:val="10A51DDA"/>
    <w:rsid w:val="10B93AD7"/>
    <w:rsid w:val="1AEB6F83"/>
    <w:rsid w:val="1BEA0FB0"/>
    <w:rsid w:val="20EF2BFD"/>
    <w:rsid w:val="21A1039B"/>
    <w:rsid w:val="2A0C3112"/>
    <w:rsid w:val="2ACB6489"/>
    <w:rsid w:val="35D93585"/>
    <w:rsid w:val="388D4D7E"/>
    <w:rsid w:val="389252D7"/>
    <w:rsid w:val="39902D77"/>
    <w:rsid w:val="39921607"/>
    <w:rsid w:val="3A0F76CD"/>
    <w:rsid w:val="3A61092F"/>
    <w:rsid w:val="3B4C6B7D"/>
    <w:rsid w:val="3D1919A2"/>
    <w:rsid w:val="3FC03C8B"/>
    <w:rsid w:val="468762A1"/>
    <w:rsid w:val="49FB423D"/>
    <w:rsid w:val="4DF0398D"/>
    <w:rsid w:val="502A01B0"/>
    <w:rsid w:val="5093764E"/>
    <w:rsid w:val="5375086E"/>
    <w:rsid w:val="540B1F58"/>
    <w:rsid w:val="567A6A7A"/>
    <w:rsid w:val="5A0E2767"/>
    <w:rsid w:val="5D3D4B9C"/>
    <w:rsid w:val="6626596F"/>
    <w:rsid w:val="6C3E3F3C"/>
    <w:rsid w:val="71AE0F03"/>
    <w:rsid w:val="72BB0EC2"/>
    <w:rsid w:val="74D15A17"/>
    <w:rsid w:val="76D67314"/>
    <w:rsid w:val="78060175"/>
    <w:rsid w:val="7A8F6158"/>
    <w:rsid w:val="A7FFD81E"/>
    <w:rsid w:val="F37A13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autoRedefine/>
    <w:semiHidden/>
    <w:unhideWhenUsed/>
    <w:qFormat/>
    <w:uiPriority w:val="99"/>
    <w:pPr>
      <w:tabs>
        <w:tab w:val="center" w:pos="4153"/>
        <w:tab w:val="right" w:pos="8306"/>
      </w:tabs>
      <w:snapToGrid w:val="0"/>
      <w:jc w:val="left"/>
    </w:pPr>
    <w:rPr>
      <w:sz w:val="18"/>
      <w:szCs w:val="18"/>
    </w:rPr>
  </w:style>
  <w:style w:type="paragraph" w:styleId="3">
    <w:name w:val="header"/>
    <w:basedOn w:val="1"/>
    <w:link w:val="7"/>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autoRedefine/>
    <w:semiHidden/>
    <w:qFormat/>
    <w:uiPriority w:val="99"/>
    <w:rPr>
      <w:rFonts w:ascii="Times New Roman" w:hAnsi="Times New Roman" w:eastAsia="宋体" w:cs="Times New Roman"/>
      <w:sz w:val="18"/>
      <w:szCs w:val="18"/>
    </w:rPr>
  </w:style>
  <w:style w:type="character" w:customStyle="1" w:styleId="8">
    <w:name w:val="页脚 Char"/>
    <w:basedOn w:val="6"/>
    <w:link w:val="2"/>
    <w:autoRedefine/>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23</TotalTime>
  <ScaleCrop>false</ScaleCrop>
  <LinksUpToDate>false</LinksUpToDate>
  <CharactersWithSpaces>270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2016-12-01T23:04:00Z</dcterms:created>
  <dc:creator>lenovo</dc:creator>
  <cp:lastModifiedBy>星晴</cp:lastModifiedBy>
  <cp:lastPrinted>2018-10-25T18:57:00Z</cp:lastPrinted>
  <dcterms:modified xsi:type="dcterms:W3CDTF">2024-03-27T07:59:16Z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FA9FAD6EBB306F60FB6FD565C6D382F8</vt:lpwstr>
  </property>
</Properties>
</file>