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862E37">
      <w:pPr>
        <w:keepNext w:val="0"/>
        <w:keepLines w:val="0"/>
        <w:pageBreakBefore w:val="0"/>
        <w:widowControl w:val="0"/>
        <w:kinsoku/>
        <w:wordWrap/>
        <w:overflowPunct/>
        <w:topLinePunct w:val="0"/>
        <w:autoSpaceDE/>
        <w:autoSpaceDN/>
        <w:bidi w:val="0"/>
        <w:adjustRightInd/>
        <w:snapToGrid/>
        <w:spacing w:line="900" w:lineRule="exact"/>
        <w:jc w:val="center"/>
        <w:textAlignment w:val="auto"/>
        <w:rPr>
          <w:rFonts w:hint="eastAsia" w:ascii="方正小标宋简体" w:hAnsi="方正小标宋简体" w:eastAsia="方正小标宋简体" w:cs="方正小标宋简体"/>
          <w:b w:val="0"/>
          <w:bCs/>
          <w:sz w:val="44"/>
          <w:szCs w:val="44"/>
          <w:lang w:eastAsia="zh-CN"/>
        </w:rPr>
      </w:pPr>
      <w:bookmarkStart w:id="15" w:name="_GoBack"/>
      <w:bookmarkEnd w:id="15"/>
    </w:p>
    <w:p w14:paraId="0F2B91A2">
      <w:pPr>
        <w:spacing w:line="56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乳源瑶族自治县退役军人事务局</w:t>
      </w:r>
      <w:r>
        <w:rPr>
          <w:rFonts w:hint="eastAsia" w:ascii="方正小标宋简体" w:hAnsi="方正小标宋简体" w:eastAsia="方正小标宋简体" w:cs="方正小标宋简体"/>
          <w:b w:val="0"/>
          <w:bCs/>
          <w:sz w:val="44"/>
          <w:szCs w:val="44"/>
        </w:rPr>
        <w:t>财政支出项目</w:t>
      </w:r>
      <w:r>
        <w:rPr>
          <w:rFonts w:hint="eastAsia" w:ascii="方正小标宋简体" w:hAnsi="方正小标宋简体" w:eastAsia="方正小标宋简体" w:cs="方正小标宋简体"/>
          <w:b w:val="0"/>
          <w:bCs/>
          <w:sz w:val="44"/>
          <w:szCs w:val="44"/>
          <w:lang w:eastAsia="zh-CN"/>
        </w:rPr>
        <w:t>（优抚抚恤补助）</w:t>
      </w:r>
      <w:r>
        <w:rPr>
          <w:rFonts w:hint="eastAsia" w:ascii="方正小标宋简体" w:hAnsi="方正小标宋简体" w:eastAsia="方正小标宋简体" w:cs="方正小标宋简体"/>
          <w:b w:val="0"/>
          <w:bCs/>
          <w:sz w:val="44"/>
          <w:szCs w:val="44"/>
        </w:rPr>
        <w:t>绩效自评报告</w:t>
      </w:r>
    </w:p>
    <w:p w14:paraId="27B228E8">
      <w:pPr>
        <w:keepNext w:val="0"/>
        <w:keepLines w:val="0"/>
        <w:pageBreakBefore w:val="0"/>
        <w:widowControl w:val="0"/>
        <w:numPr>
          <w:ilvl w:val="0"/>
          <w:numId w:val="0"/>
        </w:numPr>
        <w:kinsoku/>
        <w:wordWrap/>
        <w:overflowPunct/>
        <w:autoSpaceDE/>
        <w:autoSpaceDN/>
        <w:bidi w:val="0"/>
        <w:spacing w:line="360" w:lineRule="auto"/>
        <w:ind w:firstLine="640" w:firstLineChars="200"/>
        <w:textAlignment w:val="auto"/>
        <w:outlineLvl w:val="0"/>
        <w:rPr>
          <w:rFonts w:hint="eastAsia" w:ascii="黑体" w:eastAsia="黑体"/>
          <w:color w:val="auto"/>
          <w:sz w:val="32"/>
          <w:szCs w:val="32"/>
          <w:lang w:eastAsia="zh-CN"/>
        </w:rPr>
      </w:pPr>
    </w:p>
    <w:p w14:paraId="5FAE0B57">
      <w:pPr>
        <w:keepNext w:val="0"/>
        <w:keepLines w:val="0"/>
        <w:pageBreakBefore w:val="0"/>
        <w:widowControl w:val="0"/>
        <w:numPr>
          <w:ilvl w:val="0"/>
          <w:numId w:val="0"/>
        </w:numPr>
        <w:kinsoku/>
        <w:wordWrap/>
        <w:overflowPunct/>
        <w:autoSpaceDE/>
        <w:autoSpaceDN/>
        <w:bidi w:val="0"/>
        <w:spacing w:line="560" w:lineRule="exact"/>
        <w:ind w:firstLine="640" w:firstLineChars="200"/>
        <w:textAlignment w:val="auto"/>
        <w:outlineLvl w:val="0"/>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lang w:eastAsia="zh-CN"/>
        </w:rPr>
        <w:t>一、</w:t>
      </w:r>
      <w:r>
        <w:rPr>
          <w:rFonts w:hint="eastAsia" w:ascii="黑体" w:hAnsi="黑体" w:eastAsia="黑体" w:cs="黑体"/>
          <w:b w:val="0"/>
          <w:bCs w:val="0"/>
          <w:color w:val="auto"/>
          <w:sz w:val="32"/>
          <w:szCs w:val="32"/>
        </w:rPr>
        <w:t>项目基本情况及自评结论</w:t>
      </w:r>
    </w:p>
    <w:p w14:paraId="10349167">
      <w:pPr>
        <w:keepNext w:val="0"/>
        <w:keepLines w:val="0"/>
        <w:pageBreakBefore w:val="0"/>
        <w:widowControl w:val="0"/>
        <w:numPr>
          <w:ilvl w:val="0"/>
          <w:numId w:val="1"/>
        </w:numPr>
        <w:kinsoku/>
        <w:wordWrap/>
        <w:overflowPunct/>
        <w:topLinePunct/>
        <w:autoSpaceDE/>
        <w:autoSpaceDN/>
        <w:bidi w:val="0"/>
        <w:adjustRightInd w:val="0"/>
        <w:snapToGrid w:val="0"/>
        <w:spacing w:line="560" w:lineRule="exact"/>
        <w:ind w:firstLine="640" w:firstLineChars="200"/>
        <w:contextualSpacing/>
        <w:textAlignment w:val="auto"/>
        <w:outlineLvl w:val="0"/>
        <w:rPr>
          <w:rFonts w:hint="eastAsia" w:ascii="楷体" w:hAnsi="楷体" w:eastAsia="楷体" w:cs="楷体"/>
          <w:b w:val="0"/>
          <w:bCs w:val="0"/>
          <w:color w:val="auto"/>
          <w:sz w:val="32"/>
          <w:szCs w:val="32"/>
          <w:lang w:val="en-US" w:eastAsia="zh-CN"/>
        </w:rPr>
      </w:pPr>
      <w:r>
        <w:rPr>
          <w:rFonts w:hint="eastAsia" w:ascii="楷体" w:hAnsi="楷体" w:eastAsia="楷体" w:cs="楷体"/>
          <w:b w:val="0"/>
          <w:bCs w:val="0"/>
          <w:color w:val="auto"/>
          <w:sz w:val="32"/>
          <w:szCs w:val="32"/>
          <w:lang w:val="en-US" w:eastAsia="zh-CN"/>
        </w:rPr>
        <w:t>项目用款单位情况</w:t>
      </w:r>
      <w:bookmarkStart w:id="0" w:name="_Toc18779"/>
      <w:bookmarkStart w:id="1" w:name="_Toc15326"/>
      <w:bookmarkStart w:id="2" w:name="_Toc31265"/>
      <w:bookmarkStart w:id="3" w:name="_Toc1321"/>
      <w:bookmarkStart w:id="4" w:name="_Toc19059"/>
    </w:p>
    <w:p w14:paraId="4FDCC897">
      <w:pPr>
        <w:keepNext w:val="0"/>
        <w:keepLines w:val="0"/>
        <w:pageBreakBefore w:val="0"/>
        <w:widowControl w:val="0"/>
        <w:numPr>
          <w:ilvl w:val="0"/>
          <w:numId w:val="0"/>
        </w:numPr>
        <w:kinsoku/>
        <w:wordWrap/>
        <w:overflowPunct/>
        <w:topLinePunct/>
        <w:autoSpaceDE/>
        <w:autoSpaceDN/>
        <w:bidi w:val="0"/>
        <w:adjustRightInd w:val="0"/>
        <w:snapToGrid w:val="0"/>
        <w:spacing w:line="560" w:lineRule="exact"/>
        <w:ind w:firstLine="643" w:firstLineChars="200"/>
        <w:contextualSpacing/>
        <w:textAlignment w:val="auto"/>
        <w:outlineLvl w:val="0"/>
        <w:rPr>
          <w:rFonts w:hint="eastAsia" w:ascii="仿宋_GB2312" w:hAnsi="仿宋_GB2312" w:eastAsia="仿宋_GB2312" w:cs="仿宋_GB2312"/>
          <w:b/>
          <w:bCs w:val="0"/>
          <w:color w:val="auto"/>
          <w:sz w:val="32"/>
          <w:szCs w:val="32"/>
        </w:rPr>
      </w:pPr>
      <w:r>
        <w:rPr>
          <w:rFonts w:hint="eastAsia" w:ascii="仿宋_GB2312" w:hAnsi="仿宋_GB2312" w:eastAsia="仿宋_GB2312" w:cs="仿宋_GB2312"/>
          <w:b/>
          <w:bCs w:val="0"/>
          <w:color w:val="auto"/>
          <w:kern w:val="2"/>
          <w:sz w:val="32"/>
          <w:szCs w:val="32"/>
          <w:lang w:val="en-US" w:eastAsia="zh-CN" w:bidi="ar-SA"/>
        </w:rPr>
        <w:t>1.</w:t>
      </w:r>
      <w:r>
        <w:rPr>
          <w:rFonts w:hint="eastAsia" w:ascii="仿宋_GB2312" w:hAnsi="仿宋_GB2312" w:eastAsia="仿宋_GB2312" w:cs="仿宋_GB2312"/>
          <w:b/>
          <w:bCs w:val="0"/>
          <w:color w:val="auto"/>
          <w:sz w:val="32"/>
          <w:szCs w:val="32"/>
        </w:rPr>
        <w:t>部门主要职责。</w:t>
      </w:r>
      <w:bookmarkEnd w:id="0"/>
      <w:bookmarkEnd w:id="1"/>
      <w:bookmarkEnd w:id="2"/>
      <w:bookmarkEnd w:id="3"/>
      <w:bookmarkEnd w:id="4"/>
    </w:p>
    <w:p w14:paraId="16645526">
      <w:pPr>
        <w:keepNext w:val="0"/>
        <w:keepLines w:val="0"/>
        <w:pageBreakBefore w:val="0"/>
        <w:widowControl w:val="0"/>
        <w:numPr>
          <w:ilvl w:val="0"/>
          <w:numId w:val="0"/>
        </w:numPr>
        <w:kinsoku/>
        <w:wordWrap/>
        <w:overflowPunct/>
        <w:topLinePunct/>
        <w:autoSpaceDE/>
        <w:autoSpaceDN/>
        <w:bidi w:val="0"/>
        <w:adjustRightInd w:val="0"/>
        <w:snapToGrid w:val="0"/>
        <w:spacing w:line="560" w:lineRule="exact"/>
        <w:ind w:firstLine="640" w:firstLineChars="200"/>
        <w:contextualSpacing/>
        <w:textAlignment w:val="auto"/>
        <w:outlineLvl w:val="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（1）贯彻落实党中央关于退役军人工作方针政策和决策部署,组织实施退役军人思想政治、管理保障和安置优抚等工作政策法规，褒扬、彰显退役军人为党、国家和人民牺牲奉献的精神风范和价值导向。</w:t>
      </w:r>
    </w:p>
    <w:p w14:paraId="3FE49EE2">
      <w:pPr>
        <w:keepNext w:val="0"/>
        <w:keepLines w:val="0"/>
        <w:pageBreakBefore w:val="0"/>
        <w:widowControl w:val="0"/>
        <w:numPr>
          <w:ilvl w:val="0"/>
          <w:numId w:val="0"/>
        </w:numPr>
        <w:kinsoku/>
        <w:wordWrap/>
        <w:overflowPunct/>
        <w:topLinePunct/>
        <w:autoSpaceDE/>
        <w:autoSpaceDN/>
        <w:bidi w:val="0"/>
        <w:adjustRightInd w:val="0"/>
        <w:snapToGrid w:val="0"/>
        <w:spacing w:line="560" w:lineRule="exact"/>
        <w:ind w:firstLine="640" w:firstLineChars="200"/>
        <w:contextualSpacing/>
        <w:textAlignment w:val="auto"/>
        <w:outlineLvl w:val="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（2）负责军队转业干部、复员干部、离休退休干部、退役士兵和无军籍退休退职职工的移交安置工作和自主择业、就业退役军人服务管理工作。</w:t>
      </w:r>
    </w:p>
    <w:p w14:paraId="1041BD25">
      <w:pPr>
        <w:keepNext w:val="0"/>
        <w:keepLines w:val="0"/>
        <w:pageBreakBefore w:val="0"/>
        <w:widowControl w:val="0"/>
        <w:numPr>
          <w:ilvl w:val="0"/>
          <w:numId w:val="0"/>
        </w:numPr>
        <w:kinsoku/>
        <w:wordWrap/>
        <w:overflowPunct/>
        <w:topLinePunct/>
        <w:autoSpaceDE/>
        <w:autoSpaceDN/>
        <w:bidi w:val="0"/>
        <w:adjustRightInd w:val="0"/>
        <w:snapToGrid w:val="0"/>
        <w:spacing w:line="560" w:lineRule="exact"/>
        <w:ind w:firstLine="640" w:firstLineChars="200"/>
        <w:contextualSpacing/>
        <w:textAlignment w:val="auto"/>
        <w:outlineLvl w:val="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（3）负责退役军人教育培训工作，协调扶持退役军人和随军随调家属就业创业。</w:t>
      </w:r>
    </w:p>
    <w:p w14:paraId="20A67062">
      <w:pPr>
        <w:keepNext w:val="0"/>
        <w:keepLines w:val="0"/>
        <w:pageBreakBefore w:val="0"/>
        <w:widowControl w:val="0"/>
        <w:numPr>
          <w:ilvl w:val="0"/>
          <w:numId w:val="0"/>
        </w:numPr>
        <w:kinsoku/>
        <w:wordWrap/>
        <w:overflowPunct/>
        <w:topLinePunct/>
        <w:autoSpaceDE/>
        <w:autoSpaceDN/>
        <w:bidi w:val="0"/>
        <w:adjustRightInd w:val="0"/>
        <w:snapToGrid w:val="0"/>
        <w:spacing w:line="560" w:lineRule="exact"/>
        <w:ind w:firstLine="640" w:firstLineChars="200"/>
        <w:contextualSpacing/>
        <w:textAlignment w:val="auto"/>
        <w:outlineLvl w:val="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（4）组织协调相关部门做好离休退休军人、符合条件的其他退役军人和无军籍退休退职职工的住房保障工作，以及退役军人医疗保障、社会保险等待遇保障政策落实工作。</w:t>
      </w:r>
    </w:p>
    <w:p w14:paraId="6D87BC4D">
      <w:pPr>
        <w:keepNext w:val="0"/>
        <w:keepLines w:val="0"/>
        <w:pageBreakBefore w:val="0"/>
        <w:widowControl w:val="0"/>
        <w:numPr>
          <w:ilvl w:val="0"/>
          <w:numId w:val="0"/>
        </w:numPr>
        <w:kinsoku/>
        <w:wordWrap/>
        <w:overflowPunct/>
        <w:topLinePunct/>
        <w:autoSpaceDE/>
        <w:autoSpaceDN/>
        <w:bidi w:val="0"/>
        <w:adjustRightInd w:val="0"/>
        <w:snapToGrid w:val="0"/>
        <w:spacing w:line="560" w:lineRule="exact"/>
        <w:ind w:firstLine="640" w:firstLineChars="200"/>
        <w:contextualSpacing/>
        <w:textAlignment w:val="auto"/>
        <w:outlineLvl w:val="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（5）负责伤病残退役军人服务管理和抚恤工作;指导协调有关退役军人医疗、疗养、养老等机构的规划和实施工作;承担不适宜继续服役的伤病残军人相关工作。</w:t>
      </w:r>
    </w:p>
    <w:p w14:paraId="6A13B13A">
      <w:pPr>
        <w:keepNext w:val="0"/>
        <w:keepLines w:val="0"/>
        <w:pageBreakBefore w:val="0"/>
        <w:widowControl w:val="0"/>
        <w:numPr>
          <w:ilvl w:val="0"/>
          <w:numId w:val="0"/>
        </w:numPr>
        <w:kinsoku/>
        <w:wordWrap/>
        <w:overflowPunct/>
        <w:topLinePunct/>
        <w:autoSpaceDE/>
        <w:autoSpaceDN/>
        <w:bidi w:val="0"/>
        <w:adjustRightInd w:val="0"/>
        <w:snapToGrid w:val="0"/>
        <w:spacing w:line="560" w:lineRule="exact"/>
        <w:ind w:firstLine="640" w:firstLineChars="200"/>
        <w:contextualSpacing/>
        <w:textAlignment w:val="auto"/>
        <w:outlineLvl w:val="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（6）负责拥军优属工作，负责现役军人、退役军人、军队文职人员和军属优待、抚恤等工作。</w:t>
      </w:r>
    </w:p>
    <w:p w14:paraId="20664622">
      <w:pPr>
        <w:keepNext w:val="0"/>
        <w:keepLines w:val="0"/>
        <w:pageBreakBefore w:val="0"/>
        <w:widowControl w:val="0"/>
        <w:numPr>
          <w:ilvl w:val="0"/>
          <w:numId w:val="0"/>
        </w:numPr>
        <w:kinsoku/>
        <w:wordWrap/>
        <w:overflowPunct/>
        <w:topLinePunct/>
        <w:autoSpaceDE/>
        <w:autoSpaceDN/>
        <w:bidi w:val="0"/>
        <w:adjustRightInd w:val="0"/>
        <w:snapToGrid w:val="0"/>
        <w:spacing w:line="560" w:lineRule="exact"/>
        <w:ind w:firstLine="640" w:firstLineChars="200"/>
        <w:contextualSpacing/>
        <w:textAlignment w:val="auto"/>
        <w:outlineLvl w:val="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（7）负责烈士及退役军人荣誉奖励、军人公墓管理维护、纪念活动等工作，依法承担英雄烈</w:t>
      </w:r>
      <w:r>
        <w:rPr>
          <w:rFonts w:hint="eastAsia" w:ascii="仿宋_GB2312" w:hAnsi="仿宋_GB2312" w:eastAsia="仿宋_GB2312" w:cs="仿宋_GB2312"/>
          <w:color w:val="auto"/>
          <w:sz w:val="32"/>
          <w:szCs w:val="32"/>
          <w:lang w:eastAsia="zh-CN"/>
        </w:rPr>
        <w:t>士</w:t>
      </w:r>
      <w:r>
        <w:rPr>
          <w:rFonts w:hint="eastAsia" w:ascii="仿宋_GB2312" w:hAnsi="仿宋_GB2312" w:eastAsia="仿宋_GB2312" w:cs="仿宋_GB2312"/>
          <w:color w:val="auto"/>
          <w:sz w:val="32"/>
          <w:szCs w:val="32"/>
        </w:rPr>
        <w:t>保护相关工作，总结表彰和宣扬退役军人、退役军人工作单位和个人先进典型事迹。</w:t>
      </w:r>
    </w:p>
    <w:p w14:paraId="1B298430">
      <w:pPr>
        <w:keepNext w:val="0"/>
        <w:keepLines w:val="0"/>
        <w:pageBreakBefore w:val="0"/>
        <w:widowControl w:val="0"/>
        <w:kinsoku/>
        <w:wordWrap/>
        <w:overflowPunct/>
        <w:topLinePunct w:val="0"/>
        <w:autoSpaceDE/>
        <w:autoSpaceDN/>
        <w:bidi w:val="0"/>
        <w:adjustRightInd/>
        <w:spacing w:line="560" w:lineRule="exact"/>
        <w:ind w:firstLine="320" w:firstLineChars="100"/>
        <w:textAlignment w:val="auto"/>
        <w:outlineLvl w:val="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（8）指导并监督检查退役军人相关法律法规和政策措施的落实，组织开展退役军人权益维护和有关人员的帮扶援助工作。</w:t>
      </w:r>
    </w:p>
    <w:p w14:paraId="7778AA5F">
      <w:pPr>
        <w:keepNext w:val="0"/>
        <w:keepLines w:val="0"/>
        <w:pageBreakBefore w:val="0"/>
        <w:widowControl w:val="0"/>
        <w:kinsoku/>
        <w:wordWrap/>
        <w:overflowPunct/>
        <w:topLinePunct w:val="0"/>
        <w:autoSpaceDE/>
        <w:autoSpaceDN/>
        <w:bidi w:val="0"/>
        <w:adjustRightInd/>
        <w:spacing w:line="560" w:lineRule="exact"/>
        <w:ind w:firstLine="320" w:firstLineChars="100"/>
        <w:textAlignment w:val="auto"/>
        <w:outlineLvl w:val="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（9）承担拥军优属拥政爱民工作领导小组,办公室日常工作。</w:t>
      </w:r>
    </w:p>
    <w:p w14:paraId="1D08671D">
      <w:pPr>
        <w:keepNext w:val="0"/>
        <w:keepLines w:val="0"/>
        <w:pageBreakBefore w:val="0"/>
        <w:widowControl w:val="0"/>
        <w:numPr>
          <w:ilvl w:val="0"/>
          <w:numId w:val="0"/>
        </w:numPr>
        <w:kinsoku/>
        <w:wordWrap/>
        <w:overflowPunct/>
        <w:autoSpaceDE/>
        <w:autoSpaceDN/>
        <w:bidi w:val="0"/>
        <w:snapToGrid w:val="0"/>
        <w:spacing w:line="560" w:lineRule="exact"/>
        <w:ind w:firstLine="320" w:firstLineChars="100"/>
        <w:textAlignment w:val="auto"/>
        <w:outlineLvl w:val="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（10）承办</w:t>
      </w:r>
      <w:r>
        <w:rPr>
          <w:rFonts w:hint="eastAsia" w:ascii="仿宋_GB2312" w:hAnsi="仿宋_GB2312" w:eastAsia="仿宋_GB2312" w:cs="仿宋_GB2312"/>
          <w:color w:val="auto"/>
          <w:sz w:val="32"/>
          <w:szCs w:val="32"/>
          <w:lang w:eastAsia="zh-CN"/>
        </w:rPr>
        <w:t>县</w:t>
      </w:r>
      <w:r>
        <w:rPr>
          <w:rFonts w:hint="eastAsia" w:ascii="仿宋_GB2312" w:hAnsi="仿宋_GB2312" w:eastAsia="仿宋_GB2312" w:cs="仿宋_GB2312"/>
          <w:color w:val="auto"/>
          <w:sz w:val="32"/>
          <w:szCs w:val="32"/>
        </w:rPr>
        <w:t>委、</w:t>
      </w:r>
      <w:r>
        <w:rPr>
          <w:rFonts w:hint="eastAsia" w:ascii="仿宋_GB2312" w:hAnsi="仿宋_GB2312" w:eastAsia="仿宋_GB2312" w:cs="仿宋_GB2312"/>
          <w:color w:val="auto"/>
          <w:sz w:val="32"/>
          <w:szCs w:val="32"/>
          <w:lang w:eastAsia="zh-CN"/>
        </w:rPr>
        <w:t>县</w:t>
      </w:r>
      <w:r>
        <w:rPr>
          <w:rFonts w:hint="eastAsia" w:ascii="仿宋_GB2312" w:hAnsi="仿宋_GB2312" w:eastAsia="仿宋_GB2312" w:cs="仿宋_GB2312"/>
          <w:color w:val="auto"/>
          <w:sz w:val="32"/>
          <w:szCs w:val="32"/>
        </w:rPr>
        <w:t>政府交办的其他任务。</w:t>
      </w:r>
      <w:bookmarkStart w:id="5" w:name="_Toc31851"/>
      <w:bookmarkStart w:id="6" w:name="_Toc7234"/>
      <w:bookmarkStart w:id="7" w:name="_Toc976"/>
      <w:bookmarkStart w:id="8" w:name="_Toc31697"/>
      <w:bookmarkStart w:id="9" w:name="_Toc1051"/>
    </w:p>
    <w:p w14:paraId="4C523EE6">
      <w:pPr>
        <w:keepNext w:val="0"/>
        <w:keepLines w:val="0"/>
        <w:pageBreakBefore w:val="0"/>
        <w:widowControl w:val="0"/>
        <w:numPr>
          <w:ilvl w:val="0"/>
          <w:numId w:val="0"/>
        </w:numPr>
        <w:kinsoku/>
        <w:wordWrap/>
        <w:overflowPunct/>
        <w:autoSpaceDE/>
        <w:autoSpaceDN/>
        <w:bidi w:val="0"/>
        <w:snapToGrid w:val="0"/>
        <w:spacing w:line="560" w:lineRule="exact"/>
        <w:ind w:firstLine="643" w:firstLineChars="200"/>
        <w:textAlignment w:val="auto"/>
        <w:outlineLvl w:val="0"/>
        <w:rPr>
          <w:rFonts w:hint="eastAsia" w:ascii="仿宋_GB2312" w:hAnsi="仿宋_GB2312" w:eastAsia="仿宋_GB2312" w:cs="仿宋_GB2312"/>
          <w:bCs/>
          <w:color w:val="auto"/>
          <w:sz w:val="32"/>
          <w:szCs w:val="32"/>
        </w:rPr>
      </w:pPr>
      <w:r>
        <w:rPr>
          <w:rFonts w:hint="eastAsia" w:ascii="仿宋_GB2312" w:hAnsi="仿宋_GB2312" w:eastAsia="仿宋_GB2312" w:cs="仿宋_GB2312"/>
          <w:b/>
          <w:bCs w:val="0"/>
          <w:color w:val="auto"/>
          <w:sz w:val="32"/>
          <w:szCs w:val="32"/>
          <w:lang w:val="en-US" w:eastAsia="zh-CN"/>
        </w:rPr>
        <w:t>2.</w:t>
      </w:r>
      <w:r>
        <w:rPr>
          <w:rFonts w:hint="eastAsia" w:ascii="仿宋_GB2312" w:hAnsi="仿宋_GB2312" w:eastAsia="仿宋_GB2312" w:cs="仿宋_GB2312"/>
          <w:b/>
          <w:bCs w:val="0"/>
          <w:color w:val="auto"/>
          <w:sz w:val="32"/>
          <w:szCs w:val="32"/>
        </w:rPr>
        <w:t>纳入预算编制范围下属单位。</w:t>
      </w:r>
      <w:bookmarkEnd w:id="5"/>
      <w:bookmarkEnd w:id="6"/>
      <w:bookmarkEnd w:id="7"/>
      <w:bookmarkEnd w:id="8"/>
      <w:bookmarkEnd w:id="9"/>
    </w:p>
    <w:p w14:paraId="7C60B5B8">
      <w:pPr>
        <w:pStyle w:val="2"/>
        <w:keepNext w:val="0"/>
        <w:keepLines w:val="0"/>
        <w:pageBreakBefore w:val="0"/>
        <w:widowControl w:val="0"/>
        <w:numPr>
          <w:ilvl w:val="0"/>
          <w:numId w:val="0"/>
        </w:numPr>
        <w:kinsoku/>
        <w:wordWrap/>
        <w:overflowPunct/>
        <w:autoSpaceDE/>
        <w:autoSpaceDN/>
        <w:bidi w:val="0"/>
        <w:spacing w:line="560" w:lineRule="exact"/>
        <w:ind w:firstLine="640" w:firstLineChars="200"/>
        <w:textAlignment w:val="auto"/>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下属事业单位2个。一是乳源瑶族自治县退役军人服务中心，二是乳源瑶族自治县烈士纪念设施管理所。事业单位由县退役军人事务局统一核算。</w:t>
      </w:r>
    </w:p>
    <w:p w14:paraId="0F49A310">
      <w:pPr>
        <w:keepNext w:val="0"/>
        <w:keepLines w:val="0"/>
        <w:pageBreakBefore w:val="0"/>
        <w:widowControl w:val="0"/>
        <w:kinsoku/>
        <w:wordWrap/>
        <w:overflowPunct/>
        <w:autoSpaceDE/>
        <w:autoSpaceDN/>
        <w:bidi w:val="0"/>
        <w:snapToGrid w:val="0"/>
        <w:spacing w:line="560" w:lineRule="exact"/>
        <w:ind w:firstLine="643" w:firstLineChars="200"/>
        <w:contextualSpacing/>
        <w:textAlignment w:val="auto"/>
        <w:outlineLvl w:val="0"/>
        <w:rPr>
          <w:rFonts w:hint="eastAsia" w:ascii="仿宋_GB2312" w:hAnsi="仿宋_GB2312" w:eastAsia="仿宋_GB2312" w:cs="仿宋_GB2312"/>
          <w:bCs/>
          <w:color w:val="auto"/>
          <w:sz w:val="32"/>
          <w:szCs w:val="32"/>
        </w:rPr>
      </w:pPr>
      <w:bookmarkStart w:id="10" w:name="_Toc2082"/>
      <w:bookmarkStart w:id="11" w:name="_Toc981"/>
      <w:bookmarkStart w:id="12" w:name="_Toc25251"/>
      <w:bookmarkStart w:id="13" w:name="_Toc19331"/>
      <w:bookmarkStart w:id="14" w:name="_Toc8303"/>
      <w:r>
        <w:rPr>
          <w:rFonts w:hint="eastAsia" w:ascii="仿宋_GB2312" w:hAnsi="仿宋_GB2312" w:eastAsia="仿宋_GB2312" w:cs="仿宋_GB2312"/>
          <w:b/>
          <w:bCs w:val="0"/>
          <w:color w:val="auto"/>
          <w:sz w:val="32"/>
          <w:szCs w:val="32"/>
        </w:rPr>
        <w:t>3.部门人员编制构成。</w:t>
      </w:r>
      <w:bookmarkEnd w:id="10"/>
      <w:bookmarkEnd w:id="11"/>
      <w:bookmarkEnd w:id="12"/>
      <w:bookmarkEnd w:id="13"/>
      <w:bookmarkEnd w:id="14"/>
    </w:p>
    <w:p w14:paraId="7142A087">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乳源瑶族自治县</w:t>
      </w:r>
      <w:r>
        <w:rPr>
          <w:rFonts w:hint="eastAsia" w:ascii="仿宋_GB2312" w:hAnsi="仿宋_GB2312" w:eastAsia="仿宋_GB2312" w:cs="仿宋_GB2312"/>
          <w:color w:val="auto"/>
          <w:sz w:val="32"/>
          <w:szCs w:val="32"/>
        </w:rPr>
        <w:t>退役军人事务局是</w:t>
      </w:r>
      <w:r>
        <w:rPr>
          <w:rFonts w:hint="eastAsia" w:ascii="仿宋_GB2312" w:hAnsi="仿宋_GB2312" w:eastAsia="仿宋_GB2312" w:cs="仿宋_GB2312"/>
          <w:color w:val="auto"/>
          <w:sz w:val="32"/>
          <w:szCs w:val="32"/>
          <w:lang w:val="en-US" w:eastAsia="zh-CN"/>
        </w:rPr>
        <w:t>乳源瑶族自治县</w:t>
      </w:r>
      <w:r>
        <w:rPr>
          <w:rFonts w:hint="eastAsia" w:ascii="仿宋_GB2312" w:hAnsi="仿宋_GB2312" w:eastAsia="仿宋_GB2312" w:cs="仿宋_GB2312"/>
          <w:color w:val="auto"/>
          <w:sz w:val="32"/>
          <w:szCs w:val="32"/>
        </w:rPr>
        <w:t>人民政府工作部门，为正科级单位，核定行政编制</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名，其中：局长1名、副局长2名。下设正股级公益一类事业单位</w:t>
      </w:r>
      <w:r>
        <w:rPr>
          <w:rFonts w:hint="eastAsia" w:ascii="仿宋_GB2312" w:hAnsi="仿宋_GB2312" w:eastAsia="仿宋_GB2312" w:cs="仿宋_GB2312"/>
          <w:color w:val="auto"/>
          <w:sz w:val="32"/>
          <w:szCs w:val="32"/>
          <w:lang w:val="en-US" w:eastAsia="zh-CN"/>
        </w:rPr>
        <w:t>乳源瑶族自治县</w:t>
      </w:r>
      <w:r>
        <w:rPr>
          <w:rFonts w:hint="eastAsia" w:ascii="仿宋_GB2312" w:hAnsi="仿宋_GB2312" w:eastAsia="仿宋_GB2312" w:cs="仿宋_GB2312"/>
          <w:color w:val="auto"/>
          <w:sz w:val="32"/>
          <w:szCs w:val="32"/>
        </w:rPr>
        <w:t>退役军人服务中心和</w:t>
      </w:r>
      <w:r>
        <w:rPr>
          <w:rFonts w:hint="eastAsia" w:ascii="仿宋_GB2312" w:hAnsi="仿宋_GB2312" w:eastAsia="仿宋_GB2312" w:cs="仿宋_GB2312"/>
          <w:color w:val="auto"/>
          <w:sz w:val="32"/>
          <w:szCs w:val="32"/>
          <w:lang w:val="en-US" w:eastAsia="zh-CN"/>
        </w:rPr>
        <w:t>乳源瑶族自治县烈士纪念设施管理所</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乳源瑶族自治县</w:t>
      </w:r>
      <w:r>
        <w:rPr>
          <w:rFonts w:hint="eastAsia" w:ascii="仿宋_GB2312" w:hAnsi="仿宋_GB2312" w:eastAsia="仿宋_GB2312" w:cs="仿宋_GB2312"/>
          <w:color w:val="auto"/>
          <w:sz w:val="32"/>
          <w:szCs w:val="32"/>
        </w:rPr>
        <w:t>退役军人服务中心核定全额拨款事业编制</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名，</w:t>
      </w:r>
      <w:r>
        <w:rPr>
          <w:rFonts w:hint="eastAsia" w:ascii="仿宋_GB2312" w:hAnsi="仿宋_GB2312" w:eastAsia="仿宋_GB2312" w:cs="仿宋_GB2312"/>
          <w:color w:val="auto"/>
          <w:sz w:val="32"/>
          <w:szCs w:val="32"/>
          <w:lang w:val="en-US" w:eastAsia="zh-CN"/>
        </w:rPr>
        <w:t>乳源瑶族自治县烈士纪念设施管理所</w:t>
      </w:r>
      <w:r>
        <w:rPr>
          <w:rFonts w:hint="eastAsia" w:ascii="仿宋_GB2312" w:hAnsi="仿宋_GB2312" w:eastAsia="仿宋_GB2312" w:cs="仿宋_GB2312"/>
          <w:color w:val="auto"/>
          <w:sz w:val="32"/>
          <w:szCs w:val="32"/>
        </w:rPr>
        <w:t>核定全额拨款事业编制</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名，现有干部职工</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人，其中行政编制人员</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人，事业编制人员6人。</w:t>
      </w:r>
    </w:p>
    <w:p w14:paraId="54C77568">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内设机构包括：办公室、</w:t>
      </w:r>
      <w:r>
        <w:rPr>
          <w:rFonts w:hint="eastAsia" w:ascii="仿宋_GB2312" w:hAnsi="仿宋_GB2312" w:eastAsia="仿宋_GB2312" w:cs="仿宋_GB2312"/>
          <w:color w:val="auto"/>
          <w:sz w:val="32"/>
          <w:szCs w:val="32"/>
          <w:lang w:eastAsia="zh-CN"/>
        </w:rPr>
        <w:t>拥军优属和褒扬纪念股</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就业安置与权益维护股</w:t>
      </w:r>
      <w:r>
        <w:rPr>
          <w:rFonts w:hint="eastAsia" w:ascii="仿宋_GB2312" w:hAnsi="仿宋_GB2312" w:eastAsia="仿宋_GB2312" w:cs="仿宋_GB2312"/>
          <w:color w:val="auto"/>
          <w:sz w:val="32"/>
          <w:szCs w:val="32"/>
        </w:rPr>
        <w:t>。</w:t>
      </w:r>
    </w:p>
    <w:p w14:paraId="653B32F3">
      <w:pPr>
        <w:keepNext w:val="0"/>
        <w:keepLines w:val="0"/>
        <w:pageBreakBefore w:val="0"/>
        <w:widowControl w:val="0"/>
        <w:numPr>
          <w:ilvl w:val="0"/>
          <w:numId w:val="0"/>
        </w:numPr>
        <w:kinsoku/>
        <w:wordWrap/>
        <w:overflowPunct/>
        <w:autoSpaceDE/>
        <w:autoSpaceDN/>
        <w:bidi w:val="0"/>
        <w:spacing w:line="560" w:lineRule="exact"/>
        <w:ind w:firstLine="640" w:firstLineChars="200"/>
        <w:textAlignment w:val="auto"/>
        <w:outlineLvl w:val="0"/>
        <w:rPr>
          <w:rFonts w:hint="eastAsia" w:ascii="黑体" w:hAnsi="黑体" w:eastAsia="黑体" w:cs="黑体"/>
          <w:color w:val="auto"/>
          <w:sz w:val="32"/>
          <w:szCs w:val="32"/>
          <w:lang w:eastAsia="zh-CN"/>
        </w:rPr>
      </w:pPr>
      <w:r>
        <w:rPr>
          <w:rFonts w:hint="eastAsia" w:ascii="楷体" w:hAnsi="楷体" w:eastAsia="楷体" w:cs="楷体"/>
          <w:color w:val="auto"/>
          <w:kern w:val="2"/>
          <w:sz w:val="32"/>
          <w:szCs w:val="32"/>
          <w:lang w:val="en-US" w:eastAsia="zh-CN" w:bidi="ar-SA"/>
        </w:rPr>
        <w:t>（二）</w:t>
      </w:r>
      <w:r>
        <w:rPr>
          <w:rFonts w:hint="eastAsia" w:ascii="楷体" w:hAnsi="楷体" w:eastAsia="楷体" w:cs="楷体"/>
          <w:color w:val="auto"/>
          <w:sz w:val="32"/>
          <w:szCs w:val="32"/>
          <w:lang w:eastAsia="zh-CN"/>
        </w:rPr>
        <w:t>、项目实施主要内容及实施程序</w:t>
      </w:r>
    </w:p>
    <w:p w14:paraId="2C5D6081">
      <w:pPr>
        <w:keepNext w:val="0"/>
        <w:keepLines w:val="0"/>
        <w:pageBreakBefore w:val="0"/>
        <w:widowControl w:val="0"/>
        <w:numPr>
          <w:ilvl w:val="0"/>
          <w:numId w:val="0"/>
        </w:numPr>
        <w:kinsoku/>
        <w:wordWrap/>
        <w:overflowPunct/>
        <w:autoSpaceDE/>
        <w:autoSpaceDN/>
        <w:bidi w:val="0"/>
        <w:spacing w:line="560" w:lineRule="exact"/>
        <w:ind w:firstLine="640" w:firstLineChars="200"/>
        <w:textAlignment w:val="auto"/>
        <w:outlineLvl w:val="0"/>
        <w:rPr>
          <w:rFonts w:hint="eastAsia" w:ascii="黑体" w:eastAsia="黑体"/>
          <w:color w:val="auto"/>
          <w:sz w:val="32"/>
          <w:szCs w:val="32"/>
          <w:lang w:val="en-US" w:eastAsia="zh-CN"/>
        </w:rPr>
      </w:pPr>
      <w:r>
        <w:rPr>
          <w:rFonts w:hint="eastAsia" w:ascii="仿宋_GB2312" w:eastAsia="仿宋_GB2312"/>
          <w:color w:val="auto"/>
          <w:sz w:val="32"/>
          <w:szCs w:val="32"/>
          <w:lang w:eastAsia="zh-CN"/>
        </w:rPr>
        <w:t>退役军人事务局作为该项目的实施单位，严格发放程序，明确发放时限，适时督导检查工作的进展情况。按核定的发放范围，测算本年度所需优抚对象及农村籍</w:t>
      </w:r>
      <w:r>
        <w:rPr>
          <w:rFonts w:hint="eastAsia" w:ascii="仿宋_GB2312" w:eastAsia="仿宋_GB2312"/>
          <w:color w:val="auto"/>
          <w:sz w:val="32"/>
          <w:szCs w:val="32"/>
          <w:lang w:val="en-US" w:eastAsia="zh-CN"/>
        </w:rPr>
        <w:t>60岁以上退役士兵抚恤补助金</w:t>
      </w:r>
      <w:r>
        <w:rPr>
          <w:rFonts w:hint="eastAsia" w:ascii="仿宋_GB2312" w:eastAsia="仿宋_GB2312"/>
          <w:color w:val="auto"/>
          <w:sz w:val="32"/>
          <w:szCs w:val="32"/>
          <w:lang w:eastAsia="zh-CN"/>
        </w:rPr>
        <w:t>额，及时向财政部门申请资金。</w:t>
      </w:r>
    </w:p>
    <w:p w14:paraId="093E6E27">
      <w:pPr>
        <w:keepNext w:val="0"/>
        <w:keepLines w:val="0"/>
        <w:pageBreakBefore w:val="0"/>
        <w:widowControl w:val="0"/>
        <w:numPr>
          <w:ilvl w:val="0"/>
          <w:numId w:val="0"/>
        </w:numPr>
        <w:kinsoku/>
        <w:wordWrap/>
        <w:overflowPunct/>
        <w:autoSpaceDE/>
        <w:autoSpaceDN/>
        <w:bidi w:val="0"/>
        <w:spacing w:line="560" w:lineRule="exact"/>
        <w:ind w:firstLine="640" w:firstLineChars="200"/>
        <w:textAlignment w:val="auto"/>
        <w:outlineLvl w:val="0"/>
        <w:rPr>
          <w:rFonts w:hint="eastAsia" w:ascii="楷体" w:hAnsi="楷体" w:eastAsia="楷体" w:cs="楷体"/>
          <w:color w:val="auto"/>
          <w:sz w:val="32"/>
          <w:szCs w:val="32"/>
          <w:lang w:val="en-US" w:eastAsia="zh-CN"/>
        </w:rPr>
      </w:pPr>
      <w:r>
        <w:rPr>
          <w:rFonts w:hint="eastAsia" w:ascii="楷体" w:hAnsi="楷体" w:eastAsia="楷体" w:cs="楷体"/>
          <w:color w:val="auto"/>
          <w:kern w:val="2"/>
          <w:sz w:val="32"/>
          <w:szCs w:val="32"/>
          <w:lang w:val="en-US" w:eastAsia="zh-CN" w:bidi="ar-SA"/>
        </w:rPr>
        <w:t>（三）</w:t>
      </w:r>
      <w:r>
        <w:rPr>
          <w:rFonts w:hint="eastAsia" w:ascii="楷体" w:hAnsi="楷体" w:eastAsia="楷体" w:cs="楷体"/>
          <w:color w:val="auto"/>
          <w:sz w:val="32"/>
          <w:szCs w:val="32"/>
          <w:lang w:val="en-US" w:eastAsia="zh-CN"/>
        </w:rPr>
        <w:t>、项目自评结论</w:t>
      </w:r>
    </w:p>
    <w:p w14:paraId="525DB77E">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outlineLvl w:val="0"/>
        <w:rPr>
          <w:rFonts w:hint="eastAsia" w:ascii="仿宋_GB2312" w:eastAsia="仿宋_GB2312"/>
          <w:color w:val="auto"/>
          <w:sz w:val="32"/>
          <w:szCs w:val="32"/>
          <w:lang w:val="en-US" w:eastAsia="zh-CN"/>
        </w:rPr>
      </w:pPr>
      <w:r>
        <w:rPr>
          <w:rFonts w:hint="eastAsia" w:ascii="仿宋_GB2312" w:eastAsia="仿宋_GB2312"/>
          <w:color w:val="auto"/>
          <w:sz w:val="32"/>
          <w:szCs w:val="32"/>
          <w:lang w:eastAsia="zh-CN"/>
        </w:rPr>
        <w:t>根据绩效评价情况，退役军人事务局认真落实相关政策，积极发挥资金效益，评价小组根据评价指标进行了量化考核。</w:t>
      </w:r>
      <w:r>
        <w:rPr>
          <w:rFonts w:hint="default" w:ascii="仿宋_GB2312" w:eastAsia="仿宋_GB2312"/>
          <w:color w:val="auto"/>
          <w:sz w:val="32"/>
          <w:szCs w:val="32"/>
          <w:lang w:eastAsia="zh-CN"/>
        </w:rPr>
        <w:t>评价过程中，我们主要是通过收集相关数据和信息资料，获取各项绩效指标实际值</w:t>
      </w:r>
      <w:r>
        <w:rPr>
          <w:rFonts w:hint="eastAsia" w:ascii="仿宋_GB2312" w:eastAsia="仿宋_GB2312"/>
          <w:color w:val="auto"/>
          <w:sz w:val="32"/>
          <w:szCs w:val="32"/>
          <w:lang w:eastAsia="zh-CN"/>
        </w:rPr>
        <w:t>，</w:t>
      </w:r>
      <w:r>
        <w:rPr>
          <w:rFonts w:hint="default" w:ascii="仿宋_GB2312" w:eastAsia="仿宋_GB2312"/>
          <w:color w:val="auto"/>
          <w:sz w:val="32"/>
          <w:szCs w:val="32"/>
          <w:lang w:eastAsia="zh-CN"/>
        </w:rPr>
        <w:t>对所获取的资料进行综合分析整理，按照评价指标的各项分值及评价标准进行逐项打分汇总，形成自评报告。</w:t>
      </w:r>
      <w:r>
        <w:rPr>
          <w:rFonts w:hint="eastAsia" w:ascii="仿宋_GB2312" w:hAnsi="Times New Roman" w:eastAsia="仿宋_GB2312" w:cs="Times New Roman"/>
          <w:color w:val="auto"/>
          <w:kern w:val="2"/>
          <w:sz w:val="32"/>
          <w:szCs w:val="32"/>
          <w:lang w:val="en-US" w:eastAsia="zh-CN" w:bidi="ar-SA"/>
        </w:rPr>
        <w:t>所有绩效表格填写完整，佐证材料齐全，真实有效，各项绩效资料全部完成，情况良好，所有项目绩效合格</w:t>
      </w:r>
      <w:r>
        <w:rPr>
          <w:rFonts w:hint="eastAsia" w:ascii="仿宋_GB2312" w:eastAsia="仿宋_GB2312" w:cs="Times New Roman"/>
          <w:color w:val="auto"/>
          <w:kern w:val="2"/>
          <w:sz w:val="32"/>
          <w:szCs w:val="32"/>
          <w:lang w:val="en-US" w:eastAsia="zh-CN" w:bidi="ar-SA"/>
        </w:rPr>
        <w:t>，</w:t>
      </w:r>
      <w:r>
        <w:rPr>
          <w:rFonts w:hint="eastAsia" w:ascii="仿宋_GB2312" w:eastAsia="仿宋_GB2312"/>
          <w:color w:val="auto"/>
          <w:sz w:val="32"/>
          <w:szCs w:val="32"/>
          <w:lang w:eastAsia="zh-CN"/>
        </w:rPr>
        <w:t>优抚对象及农村籍</w:t>
      </w:r>
      <w:r>
        <w:rPr>
          <w:rFonts w:hint="eastAsia" w:ascii="仿宋_GB2312" w:eastAsia="仿宋_GB2312"/>
          <w:color w:val="auto"/>
          <w:sz w:val="32"/>
          <w:szCs w:val="32"/>
          <w:lang w:val="en-US" w:eastAsia="zh-CN"/>
        </w:rPr>
        <w:t>60岁以上退役士兵抚恤补助</w:t>
      </w:r>
      <w:r>
        <w:rPr>
          <w:rFonts w:hint="eastAsia" w:ascii="仿宋_GB2312" w:eastAsia="仿宋_GB2312"/>
          <w:color w:val="auto"/>
          <w:sz w:val="32"/>
          <w:szCs w:val="32"/>
          <w:lang w:eastAsia="zh-CN"/>
        </w:rPr>
        <w:t>资金评价得分为</w:t>
      </w:r>
      <w:r>
        <w:rPr>
          <w:rFonts w:hint="eastAsia" w:ascii="仿宋_GB2312" w:eastAsia="仿宋_GB2312"/>
          <w:color w:val="auto"/>
          <w:sz w:val="32"/>
          <w:szCs w:val="32"/>
          <w:lang w:val="en-US" w:eastAsia="zh-CN"/>
        </w:rPr>
        <w:t>98分。</w:t>
      </w:r>
    </w:p>
    <w:p w14:paraId="2743B652">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outlineLvl w:val="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部分修改意见建议按附件3绩效自评指标评分表中的评价指标逐项进行自评如下：</w:t>
      </w:r>
    </w:p>
    <w:p w14:paraId="72B9AFE7">
      <w:pPr>
        <w:keepNext w:val="0"/>
        <w:keepLines w:val="0"/>
        <w:pageBreakBefore w:val="0"/>
        <w:widowControl w:val="0"/>
        <w:kinsoku/>
        <w:wordWrap/>
        <w:overflowPunct/>
        <w:topLinePunct w:val="0"/>
        <w:autoSpaceDE/>
        <w:autoSpaceDN/>
        <w:bidi w:val="0"/>
        <w:adjustRightInd/>
        <w:snapToGrid/>
        <w:spacing w:line="560" w:lineRule="exact"/>
        <w:ind w:right="0" w:rightChars="0" w:firstLine="643" w:firstLineChars="200"/>
        <w:jc w:val="left"/>
        <w:textAlignment w:val="auto"/>
        <w:outlineLvl w:val="0"/>
        <w:rPr>
          <w:rFonts w:hint="eastAsia" w:ascii="仿宋_GB2312" w:eastAsia="仿宋_GB2312"/>
          <w:color w:val="auto"/>
          <w:sz w:val="32"/>
          <w:szCs w:val="32"/>
          <w:highlight w:val="none"/>
          <w:lang w:val="en-US" w:eastAsia="zh-CN"/>
        </w:rPr>
      </w:pPr>
      <w:r>
        <w:rPr>
          <w:rFonts w:hint="eastAsia" w:ascii="仿宋_GB2312" w:eastAsia="仿宋_GB2312"/>
          <w:b/>
          <w:bCs/>
          <w:color w:val="auto"/>
          <w:sz w:val="32"/>
          <w:szCs w:val="32"/>
          <w:highlight w:val="none"/>
          <w:lang w:val="en-US" w:eastAsia="zh-CN"/>
        </w:rPr>
        <w:t>1.投入指标。</w:t>
      </w:r>
      <w:r>
        <w:rPr>
          <w:rFonts w:hint="eastAsia" w:ascii="仿宋_GB2312" w:eastAsia="仿宋_GB2312"/>
          <w:color w:val="auto"/>
          <w:sz w:val="32"/>
          <w:szCs w:val="32"/>
          <w:highlight w:val="none"/>
          <w:lang w:val="en-US" w:eastAsia="zh-CN"/>
        </w:rPr>
        <w:t>根据《军人抚恤优待条例》、结合我县享受定期抚恤补助的优抚对象人员结构和人员数量实际情况，2022年度、2023年度中央和省市县预算资金已全部下达，基本满足全体优抚对象抚恤补助按照全市统一标准足额发放。投入指标自评得分20分，其中立项指标自评12分、资金落实自评8分。</w:t>
      </w:r>
    </w:p>
    <w:p w14:paraId="6F0CF969">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outlineLvl w:val="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佐证材料见文件：</w:t>
      </w:r>
    </w:p>
    <w:p w14:paraId="4B861316">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outlineLvl w:val="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1-2军人抚恤优待条例</w:t>
      </w:r>
    </w:p>
    <w:p w14:paraId="5EE7D20C">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outlineLvl w:val="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2-1乳财[2023]4号2023年部门预算文件。</w:t>
      </w:r>
    </w:p>
    <w:p w14:paraId="4EEDD8ED">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outlineLvl w:val="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2-2韶财社[2023]46号《关于下达2023年市财政退伍军人生活困难补助资金的通知》</w:t>
      </w:r>
    </w:p>
    <w:p w14:paraId="331CBAFC">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outlineLvl w:val="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2-3粤财社[2021]267号《关于提前下达2022年省财政优抚抚恤补助经费预算的通知》</w:t>
      </w:r>
    </w:p>
    <w:p w14:paraId="47DD16B9">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2-4粤财社[2022]278号《广东省财政厅关于提前下达2023年省财政优抚抚恤补助经费预算的通知》</w:t>
      </w:r>
    </w:p>
    <w:p w14:paraId="10D736F5">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2-5粤财社[2022]284号《广东省财政厅关于提前下达2023年中央财政优抚对象补助经费预算（第二批）的通知》</w:t>
      </w:r>
    </w:p>
    <w:p w14:paraId="1A085685">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2-6粤财社[2023]247号《关于下达2023年中央财政优抚对象补助经费预算(第三批)的通知》</w:t>
      </w:r>
    </w:p>
    <w:p w14:paraId="6BCC9BFF">
      <w:pPr>
        <w:pStyle w:val="2"/>
        <w:ind w:left="0" w:leftChars="0" w:firstLine="640" w:firstLineChars="200"/>
        <w:rPr>
          <w:rFonts w:hint="eastAsia" w:ascii="仿宋_GB2312" w:eastAsia="仿宋_GB2312"/>
          <w:color w:val="FF0000"/>
          <w:sz w:val="32"/>
          <w:szCs w:val="32"/>
          <w:highlight w:val="none"/>
          <w:lang w:val="en-US" w:eastAsia="zh-CN"/>
        </w:rPr>
      </w:pPr>
      <w:r>
        <w:rPr>
          <w:rFonts w:hint="eastAsia" w:ascii="仿宋_GB2312" w:hAnsi="仿宋_GB2312" w:eastAsia="仿宋_GB2312" w:cs="仿宋_GB2312"/>
          <w:sz w:val="32"/>
          <w:szCs w:val="32"/>
          <w:lang w:val="en-US" w:eastAsia="zh-CN"/>
        </w:rPr>
        <w:t xml:space="preserve">2-7粤财社〔2023〕8号《广东省财政厅关于下达2022年中央财政优抚对象补助经费预算(第三批)的通知》 </w:t>
      </w:r>
    </w:p>
    <w:p w14:paraId="13ED11BA">
      <w:pPr>
        <w:pStyle w:val="2"/>
        <w:keepNext w:val="0"/>
        <w:keepLines w:val="0"/>
        <w:pageBreakBefore w:val="0"/>
        <w:widowControl w:val="0"/>
        <w:numPr>
          <w:ilvl w:val="0"/>
          <w:numId w:val="0"/>
        </w:numPr>
        <w:kinsoku/>
        <w:wordWrap/>
        <w:overflowPunct/>
        <w:autoSpaceDE/>
        <w:autoSpaceDN/>
        <w:bidi w:val="0"/>
        <w:spacing w:line="560" w:lineRule="exact"/>
        <w:ind w:firstLine="643" w:firstLineChars="200"/>
        <w:textAlignment w:val="auto"/>
        <w:rPr>
          <w:rFonts w:hint="eastAsia" w:ascii="仿宋_GB2312" w:eastAsia="仿宋_GB2312"/>
          <w:color w:val="auto"/>
          <w:sz w:val="32"/>
          <w:szCs w:val="32"/>
          <w:highlight w:val="none"/>
          <w:lang w:val="en-US" w:eastAsia="zh-CN"/>
        </w:rPr>
      </w:pPr>
      <w:r>
        <w:rPr>
          <w:rFonts w:hint="eastAsia" w:ascii="仿宋_GB2312" w:eastAsia="仿宋_GB2312"/>
          <w:b/>
          <w:bCs/>
          <w:color w:val="auto"/>
          <w:sz w:val="32"/>
          <w:szCs w:val="32"/>
          <w:highlight w:val="none"/>
          <w:lang w:val="en-US" w:eastAsia="zh-CN"/>
        </w:rPr>
        <w:t>2.</w:t>
      </w:r>
      <w:r>
        <w:rPr>
          <w:rFonts w:hint="default" w:ascii="仿宋_GB2312" w:eastAsia="仿宋_GB2312"/>
          <w:b/>
          <w:bCs/>
          <w:color w:val="auto"/>
          <w:sz w:val="32"/>
          <w:szCs w:val="32"/>
          <w:highlight w:val="none"/>
          <w:lang w:val="en-US" w:eastAsia="zh-CN"/>
        </w:rPr>
        <w:t>过程</w:t>
      </w:r>
      <w:r>
        <w:rPr>
          <w:rFonts w:hint="eastAsia" w:ascii="仿宋_GB2312" w:eastAsia="仿宋_GB2312"/>
          <w:b/>
          <w:bCs/>
          <w:color w:val="auto"/>
          <w:sz w:val="32"/>
          <w:szCs w:val="32"/>
          <w:highlight w:val="none"/>
          <w:lang w:val="en-US" w:eastAsia="zh-CN"/>
        </w:rPr>
        <w:t>指标。</w:t>
      </w:r>
      <w:r>
        <w:rPr>
          <w:rFonts w:hint="eastAsia" w:ascii="仿宋_GB2312" w:eastAsia="仿宋_GB2312"/>
          <w:color w:val="auto"/>
          <w:sz w:val="32"/>
          <w:szCs w:val="32"/>
          <w:highlight w:val="none"/>
          <w:lang w:val="en-US" w:eastAsia="zh-CN"/>
        </w:rPr>
        <w:t>经自查，2022－2023两年度各级分配下达856.8万元，实际支出831.26万元，资金支出率97.02%，项目预算执行、会计核算规范，事项支出合规，</w:t>
      </w:r>
      <w:r>
        <w:rPr>
          <w:rFonts w:hint="default" w:ascii="仿宋_GB2312" w:eastAsia="仿宋_GB2312"/>
          <w:color w:val="auto"/>
          <w:sz w:val="32"/>
          <w:szCs w:val="32"/>
          <w:highlight w:val="none"/>
          <w:lang w:val="en-US" w:eastAsia="zh-CN"/>
        </w:rPr>
        <w:t>过程</w:t>
      </w:r>
      <w:r>
        <w:rPr>
          <w:rFonts w:hint="eastAsia" w:ascii="仿宋_GB2312" w:eastAsia="仿宋_GB2312"/>
          <w:color w:val="auto"/>
          <w:sz w:val="32"/>
          <w:szCs w:val="32"/>
          <w:highlight w:val="none"/>
          <w:lang w:val="en-US" w:eastAsia="zh-CN"/>
        </w:rPr>
        <w:t>指标自评得分20分，其中资金管理指标自评12分、事项管理指标自评8分。</w:t>
      </w:r>
    </w:p>
    <w:p w14:paraId="39DC842F">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outlineLvl w:val="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佐证材料见文件：</w:t>
      </w:r>
    </w:p>
    <w:p w14:paraId="2C8888B3">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outlineLvl w:val="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3-1乳退役军人[2023]4号《关于成立乳源瑶族自治县退役军人事务局内部审计工作领导小组的通知》</w:t>
      </w:r>
    </w:p>
    <w:p w14:paraId="678972E5">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outlineLvl w:val="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3-2乳退役军人发[2023]13号《关于印发乳源瑶族自治县退役军人事务局财务管理制度的通知》</w:t>
      </w:r>
    </w:p>
    <w:p w14:paraId="4DD10D87">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3-3乳退役军人发[2023]15号《关于印发乳源瑶族自治县退役军人事务局“三重一大”事项决策制度的通知》</w:t>
      </w:r>
    </w:p>
    <w:p w14:paraId="6C92228D">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3-4乳退役军人发[2024]1号《关于成立乳源瑶族自治县退役军人事务局部门绩效自评组织工作领导小组的通知》</w:t>
      </w:r>
    </w:p>
    <w:p w14:paraId="21AC875A">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3-5乳退役军人发[2024]2号《关于印发乳源瑶族自治县退役军人事务局专项资金管理办法的通知》</w:t>
      </w:r>
    </w:p>
    <w:p w14:paraId="6CFA9532">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3-6乳退役军人发[2024]3号《关于印发乳源瑶族自治县退役军人事务局预算绩效目标申报管理规程的通知》</w:t>
      </w:r>
    </w:p>
    <w:p w14:paraId="32A289D5">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outlineLvl w:val="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4-1优抚抚恤补助支出明细表</w:t>
      </w:r>
    </w:p>
    <w:p w14:paraId="4D50B402">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outlineLvl w:val="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4-2支付凭证</w:t>
      </w:r>
    </w:p>
    <w:p w14:paraId="68FF25F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3" w:firstLineChars="200"/>
        <w:jc w:val="left"/>
        <w:textAlignment w:val="auto"/>
        <w:outlineLvl w:val="0"/>
        <w:rPr>
          <w:rFonts w:hint="eastAsia" w:ascii="仿宋_GB2312" w:eastAsia="仿宋_GB2312"/>
          <w:color w:val="auto"/>
          <w:sz w:val="32"/>
          <w:szCs w:val="32"/>
          <w:highlight w:val="none"/>
          <w:lang w:val="en-US" w:eastAsia="zh-CN"/>
        </w:rPr>
      </w:pPr>
      <w:r>
        <w:rPr>
          <w:rFonts w:hint="eastAsia" w:ascii="仿宋_GB2312" w:eastAsia="仿宋_GB2312"/>
          <w:b/>
          <w:bCs/>
          <w:color w:val="auto"/>
          <w:sz w:val="32"/>
          <w:szCs w:val="32"/>
          <w:highlight w:val="none"/>
          <w:lang w:val="en-US" w:eastAsia="zh-CN"/>
        </w:rPr>
        <w:t>3.产出指标。</w:t>
      </w:r>
      <w:r>
        <w:rPr>
          <w:rFonts w:hint="eastAsia" w:ascii="仿宋_GB2312" w:eastAsia="仿宋_GB2312"/>
          <w:color w:val="auto"/>
          <w:sz w:val="32"/>
          <w:szCs w:val="32"/>
          <w:highlight w:val="none"/>
          <w:lang w:val="en-US" w:eastAsia="zh-CN"/>
        </w:rPr>
        <w:t>经自查，实际支出未超过预算计划，资金使用合规，产出指标自评得分28分，其中经济性指标自评5分，效率性指标自评23分。</w:t>
      </w:r>
    </w:p>
    <w:p w14:paraId="53B5E347">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outlineLvl w:val="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佐证材料见文件：</w:t>
      </w:r>
    </w:p>
    <w:p w14:paraId="6D41F9A8">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outlineLvl w:val="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1-2《关于做好给部分农村籍退役士兵发放老年生活补助有关工作的通知》（ 粤民优[2011]12号）</w:t>
      </w:r>
    </w:p>
    <w:p w14:paraId="7C0D7D1E">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outlineLvl w:val="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1-3韶关市退役军人事务局 韶关市财政局《关于调整部分优抚对象等人员抚恤和生活补助标准的通知（2022年）》</w:t>
      </w:r>
    </w:p>
    <w:p w14:paraId="502F761E">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outlineLvl w:val="0"/>
        <w:rPr>
          <w:rFonts w:hint="default"/>
          <w:color w:val="auto"/>
          <w:lang w:val="en-US" w:eastAsia="zh-CN"/>
        </w:rPr>
      </w:pPr>
      <w:r>
        <w:rPr>
          <w:rFonts w:hint="eastAsia" w:ascii="仿宋_GB2312" w:eastAsia="仿宋_GB2312"/>
          <w:color w:val="auto"/>
          <w:sz w:val="32"/>
          <w:szCs w:val="32"/>
          <w:highlight w:val="none"/>
          <w:lang w:val="en-US" w:eastAsia="zh-CN"/>
        </w:rPr>
        <w:t>1-4韶关市退役军人事务局 韶关市财政局《关于调整部分优抚对象等人员抚恤和生活补助标准的通知（2023年）》</w:t>
      </w:r>
    </w:p>
    <w:p w14:paraId="2F409786">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outlineLvl w:val="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4-1优抚抚恤补助支出明细表</w:t>
      </w:r>
    </w:p>
    <w:p w14:paraId="4058C135">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outlineLvl w:val="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4-2支付凭证</w:t>
      </w:r>
    </w:p>
    <w:p w14:paraId="1A782404">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outlineLvl w:val="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5-1优抚抚恤补助支出明细表</w:t>
      </w:r>
    </w:p>
    <w:p w14:paraId="4B30C8CC">
      <w:pPr>
        <w:bidi w:val="0"/>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5-2农村籍60周岁以上退役士兵登记审批表</w:t>
      </w:r>
    </w:p>
    <w:p w14:paraId="0978EA59">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5-3审核补助对象表（系统导出）</w:t>
      </w:r>
    </w:p>
    <w:p w14:paraId="6A4B0BEF">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5-4各类优抚对象人员台账</w:t>
      </w:r>
    </w:p>
    <w:p w14:paraId="44E0A587">
      <w:pPr>
        <w:pStyle w:val="2"/>
        <w:ind w:left="0" w:leftChars="0" w:firstLine="640" w:firstLineChars="200"/>
        <w:rPr>
          <w:rFonts w:hint="eastAsia" w:ascii="仿宋_GB2312" w:eastAsia="仿宋_GB2312"/>
          <w:color w:val="auto"/>
          <w:sz w:val="32"/>
          <w:szCs w:val="32"/>
          <w:highlight w:val="none"/>
          <w:lang w:val="en-US" w:eastAsia="zh-CN"/>
        </w:rPr>
      </w:pPr>
      <w:r>
        <w:rPr>
          <w:rFonts w:hint="eastAsia" w:ascii="仿宋_GB2312" w:hAnsi="仿宋_GB2312" w:eastAsia="仿宋_GB2312" w:cs="仿宋_GB2312"/>
          <w:sz w:val="32"/>
          <w:szCs w:val="32"/>
          <w:lang w:val="en-US" w:eastAsia="zh-CN"/>
        </w:rPr>
        <w:t>5-5残疾军人评定材料</w:t>
      </w:r>
    </w:p>
    <w:p w14:paraId="00978253">
      <w:pPr>
        <w:pStyle w:val="2"/>
        <w:keepNext w:val="0"/>
        <w:keepLines w:val="0"/>
        <w:pageBreakBefore w:val="0"/>
        <w:widowControl w:val="0"/>
        <w:numPr>
          <w:ilvl w:val="0"/>
          <w:numId w:val="0"/>
        </w:numPr>
        <w:tabs>
          <w:tab w:val="center" w:pos="4423"/>
        </w:tabs>
        <w:kinsoku/>
        <w:wordWrap/>
        <w:overflowPunct/>
        <w:autoSpaceDE/>
        <w:autoSpaceDN/>
        <w:bidi w:val="0"/>
        <w:spacing w:line="560" w:lineRule="exact"/>
        <w:ind w:firstLine="643" w:firstLineChars="200"/>
        <w:jc w:val="both"/>
        <w:textAlignment w:val="auto"/>
        <w:outlineLvl w:val="0"/>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eastAsia="仿宋_GB2312"/>
          <w:b/>
          <w:bCs/>
          <w:color w:val="auto"/>
          <w:sz w:val="32"/>
          <w:szCs w:val="32"/>
          <w:highlight w:val="none"/>
          <w:lang w:val="en-US" w:eastAsia="zh-CN"/>
        </w:rPr>
        <w:t>4.效益指标。</w:t>
      </w:r>
      <w:r>
        <w:rPr>
          <w:rFonts w:hint="eastAsia" w:ascii="仿宋_GB2312" w:eastAsia="仿宋_GB2312"/>
          <w:color w:val="auto"/>
          <w:sz w:val="32"/>
          <w:szCs w:val="32"/>
          <w:highlight w:val="none"/>
          <w:lang w:eastAsia="zh-CN"/>
        </w:rPr>
        <w:t>通过银行实行社会化发放</w:t>
      </w:r>
      <w:r>
        <w:rPr>
          <w:rFonts w:hint="eastAsia" w:ascii="仿宋_GB2312" w:hAnsi="仿宋_GB2312" w:eastAsia="仿宋_GB2312"/>
          <w:color w:val="auto"/>
          <w:sz w:val="32"/>
          <w:szCs w:val="32"/>
          <w:highlight w:val="none"/>
          <w:lang w:eastAsia="zh-CN"/>
        </w:rPr>
        <w:t>优抚对象及</w:t>
      </w:r>
      <w:r>
        <w:rPr>
          <w:rFonts w:hint="eastAsia" w:ascii="仿宋_GB2312" w:hAnsi="仿宋_GB2312" w:eastAsia="仿宋_GB2312" w:cs="仿宋_GB2312"/>
          <w:color w:val="auto"/>
          <w:spacing w:val="-9"/>
          <w:sz w:val="32"/>
          <w:szCs w:val="32"/>
          <w:highlight w:val="none"/>
          <w:lang w:val="en-US" w:eastAsia="zh-CN"/>
        </w:rPr>
        <w:t>农村籍6</w:t>
      </w:r>
      <w:r>
        <w:rPr>
          <w:rFonts w:hint="eastAsia" w:ascii="仿宋_GB2312" w:hAnsi="Times New Roman" w:eastAsia="仿宋_GB2312" w:cs="Times New Roman"/>
          <w:color w:val="auto"/>
          <w:kern w:val="2"/>
          <w:sz w:val="32"/>
          <w:szCs w:val="32"/>
          <w:highlight w:val="none"/>
          <w:lang w:val="en-US" w:eastAsia="zh-CN" w:bidi="ar-SA"/>
        </w:rPr>
        <w:t>0岁以上退役士兵抚恤补助资金，使优抚对象及农村籍60岁以上退役士兵基本生活得到有效保障。本部门对前来办理年度确认优抚对象的退役军人或家属等群众进行满意度调查，测查表30份，满意度100%。效益指标自评得分30分，其中效果性指标25分，公平性指标5分。</w:t>
      </w:r>
    </w:p>
    <w:p w14:paraId="3881AB4B">
      <w:pPr>
        <w:pStyle w:val="2"/>
        <w:keepNext w:val="0"/>
        <w:keepLines w:val="0"/>
        <w:pageBreakBefore w:val="0"/>
        <w:widowControl w:val="0"/>
        <w:numPr>
          <w:ilvl w:val="0"/>
          <w:numId w:val="0"/>
        </w:numPr>
        <w:tabs>
          <w:tab w:val="center" w:pos="4423"/>
        </w:tabs>
        <w:kinsoku/>
        <w:wordWrap/>
        <w:overflowPunct/>
        <w:autoSpaceDE/>
        <w:autoSpaceDN/>
        <w:bidi w:val="0"/>
        <w:spacing w:line="560" w:lineRule="exact"/>
        <w:ind w:leftChars="200"/>
        <w:jc w:val="both"/>
        <w:textAlignment w:val="auto"/>
        <w:outlineLvl w:val="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佐证材料见文件：</w:t>
      </w:r>
    </w:p>
    <w:p w14:paraId="00D161E3">
      <w:pPr>
        <w:pStyle w:val="2"/>
        <w:keepNext w:val="0"/>
        <w:keepLines w:val="0"/>
        <w:pageBreakBefore w:val="0"/>
        <w:widowControl w:val="0"/>
        <w:numPr>
          <w:ilvl w:val="0"/>
          <w:numId w:val="0"/>
        </w:numPr>
        <w:tabs>
          <w:tab w:val="center" w:pos="4423"/>
        </w:tabs>
        <w:kinsoku/>
        <w:wordWrap/>
        <w:overflowPunct/>
        <w:autoSpaceDE/>
        <w:autoSpaceDN/>
        <w:bidi w:val="0"/>
        <w:spacing w:line="560" w:lineRule="exact"/>
        <w:ind w:leftChars="200"/>
        <w:jc w:val="both"/>
        <w:textAlignment w:val="auto"/>
        <w:outlineLvl w:val="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6-1优抚工作满意度测评表</w:t>
      </w:r>
    </w:p>
    <w:p w14:paraId="3E5E002E">
      <w:pPr>
        <w:pStyle w:val="2"/>
        <w:keepNext w:val="0"/>
        <w:keepLines w:val="0"/>
        <w:pageBreakBefore w:val="0"/>
        <w:widowControl w:val="0"/>
        <w:numPr>
          <w:ilvl w:val="0"/>
          <w:numId w:val="0"/>
        </w:numPr>
        <w:tabs>
          <w:tab w:val="center" w:pos="4423"/>
        </w:tabs>
        <w:kinsoku/>
        <w:wordWrap/>
        <w:overflowPunct/>
        <w:autoSpaceDE/>
        <w:autoSpaceDN/>
        <w:bidi w:val="0"/>
        <w:spacing w:line="560" w:lineRule="exact"/>
        <w:ind w:leftChars="200"/>
        <w:jc w:val="both"/>
        <w:textAlignment w:val="auto"/>
        <w:outlineLvl w:val="0"/>
        <w:rPr>
          <w:rFonts w:hint="default" w:ascii="仿宋_GB2312" w:hAnsi="Times New Roman" w:eastAsia="仿宋_GB2312" w:cs="Times New Roman"/>
          <w:color w:val="auto"/>
          <w:kern w:val="2"/>
          <w:sz w:val="32"/>
          <w:szCs w:val="32"/>
          <w:highlight w:val="none"/>
          <w:lang w:val="en-US" w:eastAsia="zh-CN" w:bidi="ar-SA"/>
        </w:rPr>
      </w:pPr>
      <w:r>
        <w:rPr>
          <w:rFonts w:hint="eastAsia" w:ascii="仿宋_GB2312" w:eastAsia="仿宋_GB2312"/>
          <w:color w:val="auto"/>
          <w:sz w:val="32"/>
          <w:szCs w:val="32"/>
          <w:highlight w:val="none"/>
          <w:lang w:val="en-US" w:eastAsia="zh-CN"/>
        </w:rPr>
        <w:t>6-2优抚工作满意度统计表</w:t>
      </w:r>
    </w:p>
    <w:p w14:paraId="7144FF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0"/>
        <w:rPr>
          <w:rFonts w:hint="eastAsia" w:ascii="楷体" w:hAnsi="楷体" w:eastAsia="楷体" w:cs="楷体"/>
          <w:b/>
          <w:bCs/>
          <w:color w:val="auto"/>
          <w:sz w:val="32"/>
          <w:szCs w:val="32"/>
        </w:rPr>
      </w:pPr>
      <w:r>
        <w:rPr>
          <w:rFonts w:hint="eastAsia" w:ascii="黑体" w:hAnsi="黑体" w:eastAsia="黑体" w:cs="黑体"/>
          <w:b w:val="0"/>
          <w:bCs w:val="0"/>
          <w:color w:val="auto"/>
          <w:sz w:val="32"/>
          <w:szCs w:val="32"/>
        </w:rPr>
        <w:t>二、绩效表现</w:t>
      </w:r>
    </w:p>
    <w:p w14:paraId="095929C4">
      <w:pPr>
        <w:keepNext w:val="0"/>
        <w:keepLines w:val="0"/>
        <w:pageBreakBefore w:val="0"/>
        <w:widowControl w:val="0"/>
        <w:kinsoku/>
        <w:wordWrap/>
        <w:overflowPunct/>
        <w:autoSpaceDE/>
        <w:autoSpaceDN/>
        <w:bidi w:val="0"/>
        <w:spacing w:line="560" w:lineRule="exact"/>
        <w:ind w:firstLine="640" w:firstLineChars="200"/>
        <w:textAlignment w:val="auto"/>
        <w:outlineLvl w:val="0"/>
        <w:rPr>
          <w:rFonts w:hint="eastAsia" w:ascii="仿宋_GB2312" w:eastAsia="仿宋_GB2312"/>
          <w:color w:val="auto"/>
          <w:sz w:val="32"/>
          <w:szCs w:val="32"/>
        </w:rPr>
      </w:pPr>
      <w:r>
        <w:rPr>
          <w:rFonts w:hint="eastAsia" w:ascii="黑体" w:hAnsi="黑体" w:eastAsia="黑体" w:cs="黑体"/>
          <w:color w:val="auto"/>
          <w:sz w:val="32"/>
          <w:szCs w:val="32"/>
        </w:rPr>
        <w:t>（一）资金使用绩效。</w:t>
      </w:r>
    </w:p>
    <w:p w14:paraId="7EC6AB5A">
      <w:pPr>
        <w:keepNext w:val="0"/>
        <w:keepLines w:val="0"/>
        <w:pageBreakBefore w:val="0"/>
        <w:widowControl w:val="0"/>
        <w:kinsoku/>
        <w:wordWrap/>
        <w:overflowPunct/>
        <w:autoSpaceDE/>
        <w:autoSpaceDN/>
        <w:bidi w:val="0"/>
        <w:spacing w:line="560" w:lineRule="exact"/>
        <w:ind w:firstLine="640" w:firstLineChars="200"/>
        <w:textAlignment w:val="auto"/>
        <w:outlineLvl w:val="0"/>
        <w:rPr>
          <w:rFonts w:hint="eastAsia" w:ascii="仿宋_GB2312" w:eastAsia="仿宋_GB2312"/>
          <w:color w:val="auto"/>
          <w:sz w:val="32"/>
          <w:szCs w:val="32"/>
        </w:rPr>
      </w:pPr>
      <w:r>
        <w:rPr>
          <w:rFonts w:hint="eastAsia" w:ascii="仿宋_GB2312" w:hAnsi="Times New Roman" w:eastAsia="仿宋_GB2312" w:cs="Times New Roman"/>
          <w:color w:val="auto"/>
          <w:kern w:val="2"/>
          <w:sz w:val="32"/>
          <w:szCs w:val="32"/>
          <w:lang w:val="en-US" w:eastAsia="zh-CN" w:bidi="ar-SA"/>
        </w:rPr>
        <w:t>资金使用绩效良好，按规定支出，取得预期成效。</w:t>
      </w:r>
    </w:p>
    <w:p w14:paraId="6A5849DF">
      <w:pPr>
        <w:keepNext w:val="0"/>
        <w:keepLines w:val="0"/>
        <w:pageBreakBefore w:val="0"/>
        <w:widowControl w:val="0"/>
        <w:kinsoku/>
        <w:wordWrap/>
        <w:overflowPunct/>
        <w:autoSpaceDE/>
        <w:autoSpaceDN/>
        <w:bidi w:val="0"/>
        <w:spacing w:line="560" w:lineRule="exact"/>
        <w:ind w:firstLine="643" w:firstLineChars="200"/>
        <w:textAlignment w:val="auto"/>
        <w:outlineLvl w:val="0"/>
        <w:rPr>
          <w:rFonts w:hint="eastAsia" w:ascii="仿宋_GB2312" w:hAnsi="仿宋_GB2312" w:eastAsia="仿宋_GB2312"/>
          <w:color w:val="auto"/>
          <w:sz w:val="32"/>
          <w:szCs w:val="32"/>
        </w:rPr>
      </w:pPr>
      <w:r>
        <w:rPr>
          <w:rFonts w:hint="eastAsia" w:ascii="仿宋_GB2312" w:hAnsi="仿宋_GB2312" w:eastAsia="仿宋_GB2312"/>
          <w:b/>
          <w:bCs/>
          <w:color w:val="auto"/>
          <w:sz w:val="32"/>
          <w:szCs w:val="32"/>
        </w:rPr>
        <w:t>1</w:t>
      </w:r>
      <w:r>
        <w:rPr>
          <w:rFonts w:hint="eastAsia" w:ascii="仿宋_GB2312" w:hAnsi="仿宋_GB2312" w:eastAsia="仿宋_GB2312"/>
          <w:b/>
          <w:bCs/>
          <w:color w:val="auto"/>
          <w:sz w:val="32"/>
          <w:szCs w:val="32"/>
          <w:lang w:val="en-US" w:eastAsia="zh-CN"/>
        </w:rPr>
        <w:t>.</w:t>
      </w:r>
      <w:r>
        <w:rPr>
          <w:rFonts w:hint="eastAsia" w:ascii="仿宋_GB2312" w:hAnsi="仿宋_GB2312" w:eastAsia="仿宋_GB2312"/>
          <w:b/>
          <w:bCs/>
          <w:color w:val="auto"/>
          <w:sz w:val="32"/>
          <w:szCs w:val="32"/>
        </w:rPr>
        <w:t>项目资金实际总投入</w:t>
      </w:r>
      <w:r>
        <w:rPr>
          <w:rFonts w:hint="eastAsia" w:ascii="仿宋_GB2312" w:hAnsi="仿宋_GB2312" w:eastAsia="仿宋_GB2312"/>
          <w:b/>
          <w:bCs/>
          <w:color w:val="auto"/>
          <w:sz w:val="32"/>
          <w:szCs w:val="32"/>
          <w:lang w:eastAsia="zh-CN"/>
        </w:rPr>
        <w:t>：</w:t>
      </w:r>
      <w:r>
        <w:rPr>
          <w:rFonts w:hint="eastAsia" w:ascii="仿宋_GB2312" w:hAnsi="仿宋_GB2312" w:eastAsia="仿宋_GB2312" w:cs="仿宋_GB2312"/>
          <w:color w:val="auto"/>
          <w:spacing w:val="-9"/>
          <w:sz w:val="32"/>
          <w:szCs w:val="32"/>
          <w:lang w:val="en-US" w:eastAsia="zh-CN"/>
        </w:rPr>
        <w:t>8568030.34</w:t>
      </w:r>
      <w:r>
        <w:rPr>
          <w:rFonts w:hint="eastAsia" w:ascii="仿宋_GB2312" w:hAnsi="仿宋_GB2312" w:eastAsia="仿宋_GB2312"/>
          <w:color w:val="auto"/>
          <w:sz w:val="32"/>
          <w:szCs w:val="32"/>
          <w:lang w:val="en-US" w:eastAsia="zh-CN"/>
        </w:rPr>
        <w:t>元</w:t>
      </w:r>
      <w:r>
        <w:rPr>
          <w:rFonts w:hint="eastAsia" w:ascii="仿宋_GB2312" w:hAnsi="仿宋_GB2312" w:eastAsia="仿宋_GB2312"/>
          <w:color w:val="auto"/>
          <w:sz w:val="32"/>
          <w:szCs w:val="32"/>
        </w:rPr>
        <w:t>。</w:t>
      </w:r>
    </w:p>
    <w:p w14:paraId="524426BA">
      <w:pPr>
        <w:keepNext w:val="0"/>
        <w:keepLines w:val="0"/>
        <w:pageBreakBefore w:val="0"/>
        <w:widowControl w:val="0"/>
        <w:kinsoku/>
        <w:wordWrap/>
        <w:overflowPunct/>
        <w:autoSpaceDE/>
        <w:autoSpaceDN/>
        <w:bidi w:val="0"/>
        <w:spacing w:line="560" w:lineRule="exact"/>
        <w:ind w:firstLine="643" w:firstLineChars="200"/>
        <w:textAlignment w:val="auto"/>
        <w:outlineLvl w:val="0"/>
        <w:rPr>
          <w:rFonts w:hint="default" w:ascii="仿宋_GB2312" w:hAnsi="仿宋_GB2312" w:eastAsia="仿宋_GB2312"/>
          <w:color w:val="auto"/>
          <w:sz w:val="32"/>
          <w:szCs w:val="32"/>
          <w:lang w:val="en-US" w:eastAsia="zh-CN"/>
        </w:rPr>
      </w:pPr>
      <w:r>
        <w:rPr>
          <w:rFonts w:hint="eastAsia" w:ascii="仿宋_GB2312" w:hAnsi="仿宋_GB2312" w:eastAsia="仿宋_GB2312"/>
          <w:b/>
          <w:bCs/>
          <w:color w:val="auto"/>
          <w:sz w:val="32"/>
          <w:szCs w:val="32"/>
        </w:rPr>
        <w:t>2</w:t>
      </w:r>
      <w:r>
        <w:rPr>
          <w:rFonts w:hint="eastAsia" w:ascii="仿宋_GB2312" w:hAnsi="仿宋_GB2312" w:eastAsia="仿宋_GB2312"/>
          <w:b/>
          <w:bCs/>
          <w:color w:val="auto"/>
          <w:sz w:val="32"/>
          <w:szCs w:val="32"/>
          <w:lang w:val="en-US" w:eastAsia="zh-CN"/>
        </w:rPr>
        <w:t>.</w:t>
      </w:r>
      <w:r>
        <w:rPr>
          <w:rFonts w:hint="eastAsia" w:ascii="仿宋_GB2312" w:hAnsi="仿宋_GB2312" w:eastAsia="仿宋_GB2312"/>
          <w:b/>
          <w:bCs/>
          <w:color w:val="auto"/>
          <w:sz w:val="32"/>
          <w:szCs w:val="32"/>
        </w:rPr>
        <w:t>项目资金实际支出</w:t>
      </w:r>
      <w:r>
        <w:rPr>
          <w:rFonts w:hint="eastAsia" w:ascii="仿宋_GB2312" w:hAnsi="仿宋_GB2312" w:eastAsia="仿宋_GB2312"/>
          <w:b/>
          <w:bCs/>
          <w:color w:val="auto"/>
          <w:sz w:val="32"/>
          <w:szCs w:val="32"/>
          <w:lang w:eastAsia="zh-CN"/>
        </w:rPr>
        <w:t>：</w:t>
      </w:r>
      <w:r>
        <w:rPr>
          <w:rFonts w:hint="eastAsia" w:ascii="仿宋_GB2312" w:hAnsi="仿宋_GB2312" w:eastAsia="仿宋_GB2312" w:cs="仿宋_GB2312"/>
          <w:color w:val="auto"/>
          <w:spacing w:val="-9"/>
          <w:sz w:val="32"/>
          <w:szCs w:val="32"/>
          <w:lang w:val="en-US" w:eastAsia="zh-CN"/>
        </w:rPr>
        <w:t>8312627.56</w:t>
      </w:r>
      <w:r>
        <w:rPr>
          <w:rFonts w:hint="eastAsia" w:ascii="仿宋_GB2312" w:hAnsi="仿宋_GB2312" w:eastAsia="仿宋_GB2312"/>
          <w:color w:val="auto"/>
          <w:sz w:val="32"/>
          <w:szCs w:val="32"/>
          <w:lang w:val="en-US" w:eastAsia="zh-CN"/>
        </w:rPr>
        <w:t>元。其中支出：“两参人”员生活补助3249675元；“三属”和伤残人员抚恤金2625981.58元；农村籍60岁以上退役士兵2360180.98元；老烈士子女77060元。</w:t>
      </w:r>
    </w:p>
    <w:p w14:paraId="7453850B">
      <w:pPr>
        <w:keepNext w:val="0"/>
        <w:keepLines w:val="0"/>
        <w:pageBreakBefore w:val="0"/>
        <w:widowControl w:val="0"/>
        <w:kinsoku/>
        <w:wordWrap/>
        <w:overflowPunct/>
        <w:autoSpaceDE/>
        <w:autoSpaceDN/>
        <w:bidi w:val="0"/>
        <w:spacing w:line="560" w:lineRule="exact"/>
        <w:ind w:firstLine="640" w:firstLineChars="200"/>
        <w:textAlignment w:val="auto"/>
        <w:outlineLvl w:val="0"/>
        <w:rPr>
          <w:rFonts w:hint="eastAsia" w:ascii="仿宋_GB2312" w:hAnsi="仿宋_GB2312" w:eastAsia="仿宋_GB2312"/>
          <w:color w:val="auto"/>
          <w:sz w:val="32"/>
          <w:szCs w:val="32"/>
          <w:lang w:eastAsia="zh-CN"/>
        </w:rPr>
      </w:pPr>
      <w:r>
        <w:rPr>
          <w:rFonts w:hint="eastAsia" w:ascii="仿宋_GB2312" w:hAnsi="仿宋_GB2312" w:eastAsia="仿宋_GB2312"/>
          <w:color w:val="auto"/>
          <w:sz w:val="32"/>
          <w:szCs w:val="32"/>
          <w:lang w:val="en-US" w:eastAsia="zh-CN"/>
        </w:rPr>
        <w:t>对优抚对象及</w:t>
      </w:r>
      <w:r>
        <w:rPr>
          <w:rFonts w:hint="eastAsia" w:ascii="仿宋_GB2312" w:hAnsi="仿宋_GB2312" w:eastAsia="仿宋_GB2312" w:cs="仿宋_GB2312"/>
          <w:color w:val="auto"/>
          <w:spacing w:val="-9"/>
          <w:sz w:val="32"/>
          <w:szCs w:val="32"/>
          <w:lang w:val="en-US" w:eastAsia="zh-CN"/>
        </w:rPr>
        <w:t>农村籍60岁以上退役士兵</w:t>
      </w:r>
      <w:r>
        <w:rPr>
          <w:rFonts w:hint="eastAsia" w:ascii="仿宋_GB2312" w:hAnsi="仿宋_GB2312" w:eastAsia="仿宋_GB2312"/>
          <w:color w:val="auto"/>
          <w:sz w:val="32"/>
          <w:szCs w:val="32"/>
          <w:lang w:val="en-US" w:eastAsia="zh-CN"/>
        </w:rPr>
        <w:t>的抚恤补助发放认真审核，每月按时足额发放抚恤补助，保障其基本生活。</w:t>
      </w:r>
    </w:p>
    <w:p w14:paraId="686D2A62">
      <w:pPr>
        <w:keepNext w:val="0"/>
        <w:keepLines w:val="0"/>
        <w:pageBreakBefore w:val="0"/>
        <w:widowControl w:val="0"/>
        <w:kinsoku/>
        <w:wordWrap/>
        <w:overflowPunct/>
        <w:autoSpaceDE/>
        <w:autoSpaceDN/>
        <w:bidi w:val="0"/>
        <w:spacing w:line="560" w:lineRule="exact"/>
        <w:ind w:firstLine="643" w:firstLineChars="200"/>
        <w:textAlignment w:val="auto"/>
        <w:outlineLvl w:val="0"/>
        <w:rPr>
          <w:rFonts w:hint="eastAsia" w:ascii="仿宋_GB2312" w:hAnsi="仿宋_GB2312" w:eastAsia="仿宋_GB2312"/>
          <w:b/>
          <w:bCs/>
          <w:color w:val="auto"/>
          <w:sz w:val="32"/>
          <w:szCs w:val="32"/>
          <w:lang w:eastAsia="zh-CN"/>
        </w:rPr>
      </w:pPr>
      <w:r>
        <w:rPr>
          <w:rFonts w:hint="eastAsia" w:ascii="仿宋_GB2312" w:hAnsi="仿宋_GB2312" w:eastAsia="仿宋_GB2312"/>
          <w:b/>
          <w:bCs/>
          <w:color w:val="auto"/>
          <w:sz w:val="32"/>
          <w:szCs w:val="32"/>
        </w:rPr>
        <w:t>3</w:t>
      </w:r>
      <w:r>
        <w:rPr>
          <w:rFonts w:hint="eastAsia" w:ascii="仿宋_GB2312" w:hAnsi="仿宋_GB2312" w:eastAsia="仿宋_GB2312"/>
          <w:b/>
          <w:bCs/>
          <w:color w:val="auto"/>
          <w:sz w:val="32"/>
          <w:szCs w:val="32"/>
          <w:lang w:val="en-US" w:eastAsia="zh-CN"/>
        </w:rPr>
        <w:t>.</w:t>
      </w:r>
      <w:r>
        <w:rPr>
          <w:rFonts w:hint="eastAsia" w:ascii="仿宋_GB2312" w:hAnsi="仿宋_GB2312" w:eastAsia="仿宋_GB2312"/>
          <w:b/>
          <w:bCs/>
          <w:color w:val="auto"/>
          <w:sz w:val="32"/>
          <w:szCs w:val="32"/>
        </w:rPr>
        <w:t>项目的绩效目标</w:t>
      </w:r>
      <w:r>
        <w:rPr>
          <w:rFonts w:hint="eastAsia" w:ascii="仿宋_GB2312" w:hAnsi="仿宋_GB2312" w:eastAsia="仿宋_GB2312"/>
          <w:b/>
          <w:bCs/>
          <w:color w:val="auto"/>
          <w:sz w:val="32"/>
          <w:szCs w:val="32"/>
          <w:lang w:val="en-US" w:eastAsia="zh-CN"/>
        </w:rPr>
        <w:t>完成情况</w:t>
      </w:r>
      <w:r>
        <w:rPr>
          <w:rFonts w:hint="eastAsia" w:ascii="仿宋_GB2312" w:hAnsi="仿宋_GB2312" w:eastAsia="仿宋_GB2312"/>
          <w:b/>
          <w:bCs/>
          <w:color w:val="auto"/>
          <w:sz w:val="32"/>
          <w:szCs w:val="32"/>
          <w:lang w:eastAsia="zh-CN"/>
        </w:rPr>
        <w:t>：</w:t>
      </w:r>
    </w:p>
    <w:p w14:paraId="1F77040B">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left"/>
        <w:textAlignment w:val="auto"/>
        <w:outlineLvl w:val="0"/>
        <w:rPr>
          <w:rFonts w:hint="eastAsia" w:ascii="仿宋_GB2312" w:eastAsia="仿宋_GB2312"/>
          <w:color w:val="auto"/>
          <w:sz w:val="32"/>
          <w:szCs w:val="32"/>
          <w:lang w:val="en-US" w:eastAsia="zh-CN"/>
        </w:rPr>
      </w:pPr>
      <w:r>
        <w:rPr>
          <w:rFonts w:hint="eastAsia" w:ascii="仿宋_GB2312" w:eastAsia="仿宋_GB2312"/>
          <w:color w:val="auto"/>
          <w:sz w:val="32"/>
          <w:szCs w:val="32"/>
          <w:highlight w:val="none"/>
          <w:lang w:eastAsia="zh-CN"/>
        </w:rPr>
        <w:t>该项目完成预期总体目标：对优抚对象及农村籍</w:t>
      </w:r>
      <w:r>
        <w:rPr>
          <w:rFonts w:hint="eastAsia" w:ascii="仿宋_GB2312" w:eastAsia="仿宋_GB2312"/>
          <w:color w:val="auto"/>
          <w:sz w:val="32"/>
          <w:szCs w:val="32"/>
          <w:highlight w:val="none"/>
          <w:lang w:val="en-US" w:eastAsia="zh-CN"/>
        </w:rPr>
        <w:t>60岁以上退役士兵按时足额发放优抚对象抚恤补助资金，使优抚对象等人员的基本生活得到有效保障</w:t>
      </w:r>
      <w:r>
        <w:rPr>
          <w:rFonts w:hint="eastAsia" w:ascii="仿宋_GB2312" w:hAnsi="仿宋_GB2312" w:eastAsia="仿宋_GB2312"/>
          <w:color w:val="auto"/>
          <w:sz w:val="32"/>
          <w:szCs w:val="32"/>
        </w:rPr>
        <w:t>。</w:t>
      </w:r>
      <w:r>
        <w:rPr>
          <w:rFonts w:hint="eastAsia" w:ascii="仿宋_GB2312" w:hAnsi="Times New Roman" w:eastAsia="仿宋_GB2312" w:cs="Times New Roman"/>
          <w:color w:val="auto"/>
          <w:kern w:val="2"/>
          <w:sz w:val="32"/>
          <w:szCs w:val="32"/>
          <w:lang w:val="en-US" w:eastAsia="zh-CN" w:bidi="ar-SA"/>
        </w:rPr>
        <w:t>所有绩效表格填写完整，佐证材料齐全，真实有效，各项绩效资料全部完成，情况良好，所有项目绩效合格</w:t>
      </w:r>
      <w:r>
        <w:rPr>
          <w:rFonts w:hint="eastAsia" w:ascii="仿宋_GB2312" w:eastAsia="仿宋_GB2312" w:cs="Times New Roman"/>
          <w:color w:val="auto"/>
          <w:kern w:val="2"/>
          <w:sz w:val="32"/>
          <w:szCs w:val="32"/>
          <w:lang w:val="en-US" w:eastAsia="zh-CN" w:bidi="ar-SA"/>
        </w:rPr>
        <w:t>，</w:t>
      </w:r>
      <w:r>
        <w:rPr>
          <w:rFonts w:hint="eastAsia" w:ascii="仿宋_GB2312" w:eastAsia="仿宋_GB2312"/>
          <w:color w:val="auto"/>
          <w:sz w:val="32"/>
          <w:szCs w:val="32"/>
          <w:lang w:eastAsia="zh-CN"/>
        </w:rPr>
        <w:t>优抚对象及农村籍</w:t>
      </w:r>
      <w:r>
        <w:rPr>
          <w:rFonts w:hint="eastAsia" w:ascii="仿宋_GB2312" w:eastAsia="仿宋_GB2312"/>
          <w:color w:val="auto"/>
          <w:sz w:val="32"/>
          <w:szCs w:val="32"/>
          <w:lang w:val="en-US" w:eastAsia="zh-CN"/>
        </w:rPr>
        <w:t>60岁以上退役士兵抚恤补助</w:t>
      </w:r>
      <w:r>
        <w:rPr>
          <w:rFonts w:hint="eastAsia" w:ascii="仿宋_GB2312" w:eastAsia="仿宋_GB2312"/>
          <w:color w:val="auto"/>
          <w:sz w:val="32"/>
          <w:szCs w:val="32"/>
          <w:lang w:eastAsia="zh-CN"/>
        </w:rPr>
        <w:t>资金评价得分为</w:t>
      </w:r>
      <w:r>
        <w:rPr>
          <w:rFonts w:hint="eastAsia" w:ascii="仿宋_GB2312" w:eastAsia="仿宋_GB2312"/>
          <w:color w:val="auto"/>
          <w:sz w:val="32"/>
          <w:szCs w:val="32"/>
          <w:lang w:val="en-US" w:eastAsia="zh-CN"/>
        </w:rPr>
        <w:t>98分。</w:t>
      </w:r>
    </w:p>
    <w:p w14:paraId="78EFAE97">
      <w:pPr>
        <w:pStyle w:val="2"/>
        <w:keepNext w:val="0"/>
        <w:keepLines w:val="0"/>
        <w:pageBreakBefore w:val="0"/>
        <w:widowControl w:val="0"/>
        <w:numPr>
          <w:ilvl w:val="0"/>
          <w:numId w:val="0"/>
        </w:numPr>
        <w:kinsoku/>
        <w:wordWrap/>
        <w:overflowPunct/>
        <w:autoSpaceDE/>
        <w:autoSpaceDN/>
        <w:bidi w:val="0"/>
        <w:spacing w:line="560" w:lineRule="exact"/>
        <w:ind w:firstLine="640" w:firstLineChars="200"/>
        <w:textAlignment w:val="auto"/>
        <w:outlineLvl w:val="0"/>
        <w:rPr>
          <w:rFonts w:hint="default" w:ascii="仿宋_GB2312" w:eastAsia="仿宋_GB2312"/>
          <w:color w:val="auto"/>
          <w:sz w:val="32"/>
          <w:szCs w:val="32"/>
          <w:lang w:val="en-US" w:eastAsia="zh-CN"/>
        </w:rPr>
      </w:pPr>
      <w:r>
        <w:rPr>
          <w:rFonts w:hint="eastAsia" w:ascii="仿宋_GB2312" w:eastAsia="仿宋_GB2312"/>
          <w:color w:val="auto"/>
          <w:sz w:val="32"/>
          <w:szCs w:val="32"/>
          <w:lang w:val="en-US" w:eastAsia="zh-CN"/>
        </w:rPr>
        <w:t>（一）前期工作。项目前期对资金预算依据全国优抚系统人员数量和结构情况按因素法进行测算全年所需资金量，立项论证充分，测算科学真实，项目符合经济社会发展规划和部门年度工作计划。项目实际分配下达856.8万元，实际支出831.26万元，资金支出率97.02%；本部门成立了绩效自评工作领导小组，制定了本部门绩效目标管理规章及预算绩效管理制度;</w:t>
      </w:r>
      <w:r>
        <w:rPr>
          <w:rFonts w:hint="eastAsia" w:ascii="仿宋_GB2312" w:hAnsi="仿宋_GB2312" w:eastAsia="仿宋_GB2312"/>
          <w:color w:val="auto"/>
          <w:sz w:val="32"/>
          <w:szCs w:val="32"/>
          <w:lang w:val="en-US" w:eastAsia="zh-CN"/>
        </w:rPr>
        <w:t>对优抚对象及</w:t>
      </w:r>
      <w:r>
        <w:rPr>
          <w:rFonts w:hint="eastAsia" w:ascii="仿宋_GB2312" w:hAnsi="仿宋_GB2312" w:eastAsia="仿宋_GB2312" w:cs="仿宋_GB2312"/>
          <w:color w:val="auto"/>
          <w:spacing w:val="-9"/>
          <w:sz w:val="32"/>
          <w:szCs w:val="32"/>
          <w:lang w:val="en-US" w:eastAsia="zh-CN"/>
        </w:rPr>
        <w:t>农村籍60岁以上退役军人</w:t>
      </w:r>
      <w:r>
        <w:rPr>
          <w:rFonts w:hint="eastAsia" w:ascii="仿宋_GB2312" w:hAnsi="仿宋_GB2312" w:eastAsia="仿宋_GB2312"/>
          <w:color w:val="auto"/>
          <w:sz w:val="32"/>
          <w:szCs w:val="32"/>
          <w:lang w:val="en-US" w:eastAsia="zh-CN"/>
        </w:rPr>
        <w:t>的抚恤补助申请认真审核，每月按全市统一标准发放补助。</w:t>
      </w:r>
      <w:r>
        <w:rPr>
          <w:rFonts w:hint="eastAsia" w:ascii="仿宋_GB2312" w:eastAsia="仿宋_GB2312"/>
          <w:color w:val="auto"/>
          <w:sz w:val="32"/>
          <w:szCs w:val="32"/>
          <w:lang w:val="en-US" w:eastAsia="zh-CN"/>
        </w:rPr>
        <w:t>前期工作总分20分，自评得分20分，其中论证决策得7分，目标完整性得3分，目标科学性得4分，组织机构得3分，制度措施得3分。</w:t>
      </w:r>
    </w:p>
    <w:p w14:paraId="03E45662">
      <w:pPr>
        <w:pStyle w:val="2"/>
        <w:keepNext w:val="0"/>
        <w:keepLines w:val="0"/>
        <w:pageBreakBefore w:val="0"/>
        <w:widowControl w:val="0"/>
        <w:numPr>
          <w:ilvl w:val="0"/>
          <w:numId w:val="0"/>
        </w:numPr>
        <w:kinsoku/>
        <w:wordWrap/>
        <w:overflowPunct/>
        <w:autoSpaceDE/>
        <w:autoSpaceDN/>
        <w:bidi w:val="0"/>
        <w:spacing w:line="560" w:lineRule="exact"/>
        <w:ind w:firstLine="640" w:firstLineChars="200"/>
        <w:textAlignment w:val="auto"/>
        <w:outlineLvl w:val="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二）实施过程。项目实际分配下达856.8万元，下达比例100%，到位及时，保障了优抚抚恤补助正常发放；资金支出程序规范，建立了股室负责人、财务和局领导审核制度，严格执行财务管理制度；会计核算规范，支出依据合规；无截留、挤占、挪用项目资金情况和无超标准开支情况。实施过程总分30分，自评得分30分。其中：资金到位得5分；财务合规性得10分；实施程序得10分；项目监管得5分。</w:t>
      </w:r>
    </w:p>
    <w:p w14:paraId="3AFAEEFD">
      <w:pPr>
        <w:pStyle w:val="2"/>
        <w:keepNext w:val="0"/>
        <w:keepLines w:val="0"/>
        <w:pageBreakBefore w:val="0"/>
        <w:widowControl w:val="0"/>
        <w:numPr>
          <w:ilvl w:val="0"/>
          <w:numId w:val="0"/>
        </w:numPr>
        <w:tabs>
          <w:tab w:val="center" w:pos="4423"/>
        </w:tabs>
        <w:kinsoku/>
        <w:wordWrap/>
        <w:overflowPunct/>
        <w:autoSpaceDE/>
        <w:autoSpaceDN/>
        <w:bidi w:val="0"/>
        <w:spacing w:line="560" w:lineRule="exact"/>
        <w:ind w:firstLine="640" w:firstLineChars="200"/>
        <w:textAlignment w:val="auto"/>
        <w:outlineLvl w:val="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三）项目绩效。项目实际分配下达856.8万元，实际支出831.26万元，结余25.54万元，资金支出率97.02%，项目预算结余控制在5%以内，反映项目预算科学合理，支出依据明确，成本控制得当。2023年农村籍60周岁以上退役军人656人，优抚对象367人，按</w:t>
      </w:r>
      <w:r>
        <w:rPr>
          <w:rFonts w:hint="eastAsia" w:ascii="仿宋_GB2312" w:hAnsi="仿宋_GB2312" w:eastAsia="仿宋_GB2312"/>
          <w:color w:val="auto"/>
          <w:sz w:val="32"/>
          <w:szCs w:val="32"/>
          <w:lang w:val="en-US" w:eastAsia="zh-CN"/>
        </w:rPr>
        <w:t>全市统一标准按时足额发放抚恤补助至个人银行账户，</w:t>
      </w:r>
      <w:r>
        <w:rPr>
          <w:rFonts w:hint="eastAsia" w:ascii="仿宋_GB2312" w:eastAsia="仿宋_GB2312"/>
          <w:color w:val="auto"/>
          <w:sz w:val="32"/>
          <w:szCs w:val="32"/>
          <w:lang w:val="en-US" w:eastAsia="zh-CN"/>
        </w:rPr>
        <w:t>资金使用合格率100%，资金发放覆</w:t>
      </w:r>
      <w:r>
        <w:rPr>
          <w:rFonts w:hint="eastAsia" w:ascii="仿宋_GB2312" w:hAnsi="Times New Roman" w:eastAsia="仿宋_GB2312" w:cs="Times New Roman"/>
          <w:color w:val="auto"/>
          <w:kern w:val="2"/>
          <w:sz w:val="32"/>
          <w:szCs w:val="32"/>
          <w:lang w:val="en-US" w:eastAsia="zh-CN" w:bidi="ar-SA"/>
        </w:rPr>
        <w:t>盖率100%。</w:t>
      </w:r>
      <w:r>
        <w:rPr>
          <w:rFonts w:hint="eastAsia" w:ascii="仿宋_GB2312" w:eastAsia="仿宋_GB2312"/>
          <w:color w:val="auto"/>
          <w:sz w:val="32"/>
          <w:szCs w:val="32"/>
          <w:lang w:val="en-US" w:eastAsia="zh-CN"/>
        </w:rPr>
        <w:t>项目资金社会效益明显，基本保障优抚对象和农村籍60周岁以上退役士兵生活，项目实施过程没有造成社会不公而引起纠纷、诉讼、信访、上访甚至违法犯罪等行为。项目结余资金可依据《优抚资金管理办法》相关规定，可持续用于解决优抚对象生活、医疗、住房保障，可持续性目标明确。</w:t>
      </w:r>
      <w:r>
        <w:rPr>
          <w:rFonts w:hint="eastAsia" w:ascii="仿宋_GB2312" w:hAnsi="仿宋_GB2312" w:eastAsia="仿宋_GB2312" w:cs="Times New Roman"/>
          <w:color w:val="auto"/>
          <w:kern w:val="2"/>
          <w:sz w:val="32"/>
          <w:szCs w:val="32"/>
          <w:lang w:val="en-US" w:eastAsia="zh-CN" w:bidi="ar-SA"/>
        </w:rPr>
        <w:t>2023年10月15日，本部门对前来办理年度确认等业务的群众进行满意度调查，调查表60份，满意度100%。</w:t>
      </w:r>
      <w:r>
        <w:rPr>
          <w:rFonts w:hint="eastAsia" w:ascii="仿宋_GB2312" w:eastAsia="仿宋_GB2312"/>
          <w:color w:val="auto"/>
          <w:sz w:val="32"/>
          <w:szCs w:val="32"/>
          <w:lang w:val="en-US" w:eastAsia="zh-CN"/>
        </w:rPr>
        <w:t>但在项目完成进度上，因银行系统优化更新、节假日等因素影响，存在个别月份发放时间延迟到15日之后的现象。项目绩效总分50分，自评得分48分。其中：预算控制得5分，完成进度及质量得13分（自评扣2分），社会经济效益得20分，可持续性发展得5分，公共属性得5分。</w:t>
      </w:r>
    </w:p>
    <w:p w14:paraId="318EC573">
      <w:pPr>
        <w:keepNext w:val="0"/>
        <w:keepLines w:val="0"/>
        <w:pageBreakBefore w:val="0"/>
        <w:widowControl w:val="0"/>
        <w:kinsoku/>
        <w:wordWrap/>
        <w:overflowPunct/>
        <w:autoSpaceDE/>
        <w:autoSpaceDN/>
        <w:bidi w:val="0"/>
        <w:spacing w:line="560" w:lineRule="exact"/>
        <w:ind w:firstLine="640" w:firstLineChars="200"/>
        <w:textAlignment w:val="auto"/>
        <w:outlineLvl w:val="0"/>
        <w:rPr>
          <w:rFonts w:hint="eastAsia" w:ascii="仿宋_GB2312" w:eastAsia="仿宋_GB2312"/>
          <w:color w:val="auto"/>
          <w:sz w:val="32"/>
          <w:szCs w:val="32"/>
          <w:lang w:eastAsia="zh-CN"/>
        </w:rPr>
      </w:pPr>
      <w:r>
        <w:rPr>
          <w:rFonts w:hint="eastAsia" w:ascii="楷体" w:hAnsi="楷体" w:eastAsia="楷体" w:cs="楷体"/>
          <w:color w:val="auto"/>
          <w:sz w:val="32"/>
          <w:szCs w:val="32"/>
        </w:rPr>
        <w:t>（二）存在问题。</w:t>
      </w:r>
      <w:r>
        <w:rPr>
          <w:rFonts w:hint="eastAsia" w:ascii="仿宋_GB2312" w:eastAsia="仿宋_GB2312"/>
          <w:color w:val="auto"/>
          <w:sz w:val="32"/>
          <w:szCs w:val="32"/>
        </w:rPr>
        <w:t>针对短板指标分析项目资金使用存在的问题和原因</w:t>
      </w:r>
      <w:r>
        <w:rPr>
          <w:rFonts w:hint="eastAsia" w:ascii="仿宋_GB2312" w:eastAsia="仿宋_GB2312"/>
          <w:color w:val="auto"/>
          <w:sz w:val="32"/>
          <w:szCs w:val="32"/>
          <w:lang w:eastAsia="zh-CN"/>
        </w:rPr>
        <w:t>：</w:t>
      </w:r>
    </w:p>
    <w:p w14:paraId="24E45B09">
      <w:pPr>
        <w:keepNext w:val="0"/>
        <w:keepLines w:val="0"/>
        <w:pageBreakBefore w:val="0"/>
        <w:widowControl w:val="0"/>
        <w:kinsoku/>
        <w:wordWrap/>
        <w:overflowPunct/>
        <w:autoSpaceDE/>
        <w:autoSpaceDN/>
        <w:bidi w:val="0"/>
        <w:spacing w:line="560" w:lineRule="exact"/>
        <w:ind w:firstLine="640" w:firstLineChars="200"/>
        <w:textAlignment w:val="auto"/>
        <w:outlineLvl w:val="0"/>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无。</w:t>
      </w:r>
    </w:p>
    <w:p w14:paraId="570DDFCE">
      <w:pPr>
        <w:keepNext w:val="0"/>
        <w:keepLines w:val="0"/>
        <w:pageBreakBefore w:val="0"/>
        <w:widowControl w:val="0"/>
        <w:kinsoku/>
        <w:wordWrap/>
        <w:overflowPunct/>
        <w:autoSpaceDE/>
        <w:autoSpaceDN/>
        <w:bidi w:val="0"/>
        <w:spacing w:line="560" w:lineRule="exact"/>
        <w:ind w:firstLine="640" w:firstLineChars="200"/>
        <w:textAlignment w:val="auto"/>
        <w:outlineLvl w:val="0"/>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三、改进意见</w:t>
      </w:r>
    </w:p>
    <w:p w14:paraId="0A401470">
      <w:pPr>
        <w:keepNext w:val="0"/>
        <w:keepLines w:val="0"/>
        <w:pageBreakBefore w:val="0"/>
        <w:widowControl w:val="0"/>
        <w:kinsoku/>
        <w:wordWrap/>
        <w:overflowPunct/>
        <w:autoSpaceDE/>
        <w:autoSpaceDN/>
        <w:bidi w:val="0"/>
        <w:spacing w:line="560" w:lineRule="exact"/>
        <w:ind w:firstLine="640" w:firstLineChars="200"/>
        <w:textAlignment w:val="auto"/>
        <w:outlineLvl w:val="0"/>
        <w:rPr>
          <w:rFonts w:hint="eastAsia" w:eastAsia="仿宋_GB2312"/>
          <w:color w:val="auto"/>
          <w:lang w:eastAsia="zh-CN"/>
        </w:rPr>
      </w:pPr>
      <w:r>
        <w:rPr>
          <w:rFonts w:hint="eastAsia" w:ascii="仿宋_GB2312" w:eastAsia="仿宋_GB2312"/>
          <w:color w:val="auto"/>
          <w:sz w:val="32"/>
          <w:szCs w:val="32"/>
        </w:rPr>
        <w:t>针对存在的问题提出完善项目管理</w:t>
      </w:r>
      <w:r>
        <w:rPr>
          <w:rFonts w:hint="eastAsia" w:ascii="仿宋_GB2312" w:eastAsia="仿宋_GB2312"/>
          <w:color w:val="auto"/>
          <w:sz w:val="32"/>
          <w:szCs w:val="32"/>
          <w:lang w:eastAsia="zh-CN"/>
        </w:rPr>
        <w:t>、</w:t>
      </w:r>
      <w:r>
        <w:rPr>
          <w:rFonts w:hint="eastAsia" w:ascii="仿宋_GB2312" w:eastAsia="仿宋_GB2312"/>
          <w:color w:val="auto"/>
          <w:sz w:val="32"/>
          <w:szCs w:val="32"/>
        </w:rPr>
        <w:t>资金绩效管理的意见</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ab/>
      </w:r>
      <w:r>
        <w:rPr>
          <w:rFonts w:hint="eastAsia" w:ascii="仿宋_GB2312" w:eastAsia="仿宋_GB2312"/>
          <w:color w:val="auto"/>
          <w:sz w:val="32"/>
          <w:szCs w:val="32"/>
          <w:lang w:val="en-US" w:eastAsia="zh-CN"/>
        </w:rPr>
        <w:t xml:space="preserve"> </w:t>
      </w:r>
      <w:r>
        <w:rPr>
          <w:rFonts w:hint="eastAsia" w:ascii="仿宋_GB2312" w:eastAsia="仿宋_GB2312"/>
          <w:color w:val="auto"/>
          <w:sz w:val="32"/>
          <w:szCs w:val="32"/>
          <w:lang w:eastAsia="zh-CN"/>
        </w:rPr>
        <w:t>无。</w:t>
      </w:r>
    </w:p>
    <w:p w14:paraId="7116F759">
      <w:pPr>
        <w:keepNext w:val="0"/>
        <w:keepLines w:val="0"/>
        <w:pageBreakBefore w:val="0"/>
        <w:widowControl w:val="0"/>
        <w:kinsoku/>
        <w:wordWrap/>
        <w:overflowPunct/>
        <w:autoSpaceDE/>
        <w:autoSpaceDN/>
        <w:bidi w:val="0"/>
        <w:spacing w:line="560" w:lineRule="exact"/>
        <w:ind w:firstLine="640" w:firstLineChars="200"/>
        <w:jc w:val="right"/>
        <w:textAlignment w:val="auto"/>
        <w:outlineLvl w:val="0"/>
        <w:rPr>
          <w:rFonts w:hint="eastAsia" w:ascii="仿宋_GB2312" w:eastAsia="仿宋_GB2312"/>
          <w:color w:val="auto"/>
          <w:sz w:val="32"/>
          <w:szCs w:val="32"/>
          <w:lang w:eastAsia="zh-CN"/>
        </w:rPr>
      </w:pPr>
    </w:p>
    <w:p w14:paraId="7FB1E1E3">
      <w:pPr>
        <w:keepNext w:val="0"/>
        <w:keepLines w:val="0"/>
        <w:pageBreakBefore w:val="0"/>
        <w:widowControl w:val="0"/>
        <w:kinsoku/>
        <w:wordWrap/>
        <w:overflowPunct/>
        <w:autoSpaceDE/>
        <w:autoSpaceDN/>
        <w:bidi w:val="0"/>
        <w:spacing w:line="560" w:lineRule="exact"/>
        <w:ind w:firstLine="640" w:firstLineChars="200"/>
        <w:jc w:val="right"/>
        <w:textAlignment w:val="auto"/>
        <w:outlineLvl w:val="0"/>
        <w:rPr>
          <w:rFonts w:hint="eastAsia" w:ascii="仿宋_GB2312" w:eastAsia="仿宋_GB2312"/>
          <w:color w:val="auto"/>
          <w:sz w:val="32"/>
          <w:szCs w:val="32"/>
          <w:lang w:eastAsia="zh-CN"/>
        </w:rPr>
      </w:pPr>
      <w:r>
        <w:rPr>
          <w:rFonts w:hint="eastAsia" w:ascii="仿宋_GB2312" w:eastAsia="仿宋_GB2312"/>
          <w:color w:val="auto"/>
          <w:sz w:val="32"/>
          <w:szCs w:val="32"/>
          <w:lang w:eastAsia="zh-CN"/>
        </w:rPr>
        <w:t>乳源瑶族自治县退役军人事务局</w:t>
      </w:r>
    </w:p>
    <w:p w14:paraId="62B28970">
      <w:pPr>
        <w:keepNext w:val="0"/>
        <w:keepLines w:val="0"/>
        <w:pageBreakBefore w:val="0"/>
        <w:widowControl w:val="0"/>
        <w:kinsoku/>
        <w:wordWrap/>
        <w:overflowPunct/>
        <w:autoSpaceDE/>
        <w:autoSpaceDN/>
        <w:bidi w:val="0"/>
        <w:spacing w:line="360" w:lineRule="auto"/>
        <w:ind w:firstLine="3968" w:firstLineChars="1240"/>
        <w:jc w:val="center"/>
        <w:textAlignment w:val="auto"/>
        <w:outlineLvl w:val="0"/>
        <w:rPr>
          <w:rFonts w:hint="default" w:ascii="仿宋_GB2312" w:eastAsia="仿宋_GB2312"/>
          <w:color w:val="auto"/>
          <w:sz w:val="32"/>
          <w:szCs w:val="32"/>
          <w:lang w:val="en-US" w:eastAsia="zh-CN"/>
        </w:rPr>
      </w:pPr>
      <w:r>
        <w:rPr>
          <w:rFonts w:hint="eastAsia" w:ascii="仿宋_GB2312" w:eastAsia="仿宋_GB2312"/>
          <w:color w:val="auto"/>
          <w:sz w:val="32"/>
          <w:szCs w:val="32"/>
          <w:lang w:val="en-US" w:eastAsia="zh-CN"/>
        </w:rPr>
        <w:t>2024年5月21日</w:t>
      </w:r>
    </w:p>
    <w:sectPr>
      <w:pgSz w:w="11906" w:h="16838"/>
      <w:pgMar w:top="2098" w:right="1474" w:bottom="1984" w:left="1587" w:header="851" w:footer="1474" w:gutter="0"/>
      <w:cols w:space="0" w:num="1"/>
      <w:rtlGutter w:val="0"/>
      <w:docGrid w:type="lines" w:linePitch="5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A04AAAC-3F58-4AED-8B37-016A00BE153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embedRegular r:id="rId2" w:fontKey="{9D649387-3A69-41E6-A10B-07A7DF749292}"/>
  </w:font>
  <w:font w:name="楷体">
    <w:panose1 w:val="02010609060101010101"/>
    <w:charset w:val="86"/>
    <w:family w:val="auto"/>
    <w:pitch w:val="default"/>
    <w:sig w:usb0="800002BF" w:usb1="38CF7CFA" w:usb2="00000016" w:usb3="00000000" w:csb0="00040001" w:csb1="00000000"/>
    <w:embedRegular r:id="rId3" w:fontKey="{C6A96008-4BD8-4AD2-A7F9-8C2825170435}"/>
  </w:font>
  <w:font w:name="仿宋_GB2312">
    <w:panose1 w:val="02010609030101010101"/>
    <w:charset w:val="86"/>
    <w:family w:val="modern"/>
    <w:pitch w:val="default"/>
    <w:sig w:usb0="00000001" w:usb1="080E0000" w:usb2="00000000" w:usb3="00000000" w:csb0="00040000" w:csb1="00000000"/>
    <w:embedRegular r:id="rId4" w:fontKey="{31545DD7-0D16-4544-9779-EBB2EA2E00F8}"/>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B27E49"/>
    <w:multiLevelType w:val="singleLevel"/>
    <w:tmpl w:val="BDB27E4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29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3YmFjNzdiYTc1NjEzOGIyNmUzNTAwMTZhNzE2MjAifQ=="/>
  </w:docVars>
  <w:rsids>
    <w:rsidRoot w:val="00F22CA7"/>
    <w:rsid w:val="000560B1"/>
    <w:rsid w:val="001005EE"/>
    <w:rsid w:val="0016442E"/>
    <w:rsid w:val="00182223"/>
    <w:rsid w:val="003B25CA"/>
    <w:rsid w:val="004903E7"/>
    <w:rsid w:val="00534213"/>
    <w:rsid w:val="006F6EA7"/>
    <w:rsid w:val="0087074D"/>
    <w:rsid w:val="00916C35"/>
    <w:rsid w:val="009C14D0"/>
    <w:rsid w:val="00E409B6"/>
    <w:rsid w:val="00EE444F"/>
    <w:rsid w:val="00F22CA7"/>
    <w:rsid w:val="01C54AA9"/>
    <w:rsid w:val="06D3467D"/>
    <w:rsid w:val="07287CD9"/>
    <w:rsid w:val="08822F14"/>
    <w:rsid w:val="0C547DFD"/>
    <w:rsid w:val="0D6B305C"/>
    <w:rsid w:val="0D9B1E83"/>
    <w:rsid w:val="0F750B8F"/>
    <w:rsid w:val="108D4996"/>
    <w:rsid w:val="118A1E7E"/>
    <w:rsid w:val="11E6689F"/>
    <w:rsid w:val="126B6DC6"/>
    <w:rsid w:val="12941461"/>
    <w:rsid w:val="167C3F61"/>
    <w:rsid w:val="176B1B01"/>
    <w:rsid w:val="17783318"/>
    <w:rsid w:val="1AD0761E"/>
    <w:rsid w:val="1BEA0FB0"/>
    <w:rsid w:val="1E0D2098"/>
    <w:rsid w:val="1F19602A"/>
    <w:rsid w:val="20427581"/>
    <w:rsid w:val="20550C4B"/>
    <w:rsid w:val="22223168"/>
    <w:rsid w:val="23196C2E"/>
    <w:rsid w:val="278A2D36"/>
    <w:rsid w:val="2A0C3112"/>
    <w:rsid w:val="2E7516C5"/>
    <w:rsid w:val="2EE27F28"/>
    <w:rsid w:val="2F7FEBCC"/>
    <w:rsid w:val="30FF50DE"/>
    <w:rsid w:val="339C2CD1"/>
    <w:rsid w:val="344C23E9"/>
    <w:rsid w:val="37320DF4"/>
    <w:rsid w:val="39976032"/>
    <w:rsid w:val="3D4E7172"/>
    <w:rsid w:val="3D924CE6"/>
    <w:rsid w:val="3EAC5886"/>
    <w:rsid w:val="3EC15781"/>
    <w:rsid w:val="40201D21"/>
    <w:rsid w:val="41171DE2"/>
    <w:rsid w:val="45C54D9D"/>
    <w:rsid w:val="466C485A"/>
    <w:rsid w:val="468762A1"/>
    <w:rsid w:val="47E15CDC"/>
    <w:rsid w:val="4ABB4E35"/>
    <w:rsid w:val="4B204C1F"/>
    <w:rsid w:val="4D7D6B28"/>
    <w:rsid w:val="4D8E5EB9"/>
    <w:rsid w:val="4FE42C94"/>
    <w:rsid w:val="501237C6"/>
    <w:rsid w:val="509E65BD"/>
    <w:rsid w:val="52E86650"/>
    <w:rsid w:val="54207436"/>
    <w:rsid w:val="55D72524"/>
    <w:rsid w:val="598754B8"/>
    <w:rsid w:val="59BA76E5"/>
    <w:rsid w:val="5D7A5BBD"/>
    <w:rsid w:val="62306139"/>
    <w:rsid w:val="629D2206"/>
    <w:rsid w:val="63695BF9"/>
    <w:rsid w:val="63E70F77"/>
    <w:rsid w:val="63EA0EF3"/>
    <w:rsid w:val="68B60502"/>
    <w:rsid w:val="6B4A2F5F"/>
    <w:rsid w:val="6F341C7B"/>
    <w:rsid w:val="716501FB"/>
    <w:rsid w:val="72340183"/>
    <w:rsid w:val="755B0F56"/>
    <w:rsid w:val="779C05EF"/>
    <w:rsid w:val="7840274B"/>
    <w:rsid w:val="79C47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rFonts w:ascii="Calibri" w:hAnsi="Calibri" w:eastAsia="宋体" w:cs="Times New Roman"/>
      <w:szCs w:val="20"/>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rFonts w:ascii="Times New Roman" w:hAnsi="Times New Roman" w:eastAsia="宋体" w:cs="Times New Roman"/>
      <w:sz w:val="18"/>
      <w:szCs w:val="18"/>
    </w:rPr>
  </w:style>
  <w:style w:type="character" w:customStyle="1" w:styleId="8">
    <w:name w:val="页脚 Char"/>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3823</Words>
  <Characters>4186</Characters>
  <Lines>1</Lines>
  <Paragraphs>1</Paragraphs>
  <TotalTime>19</TotalTime>
  <ScaleCrop>false</ScaleCrop>
  <LinksUpToDate>false</LinksUpToDate>
  <CharactersWithSpaces>4192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良书书</cp:lastModifiedBy>
  <cp:lastPrinted>2024-03-25T15:18:00Z</cp:lastPrinted>
  <dcterms:modified xsi:type="dcterms:W3CDTF">2024-09-13T01:49:42Z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C05229110AB846619A9DB62BFA48AD6C_13</vt:lpwstr>
  </property>
</Properties>
</file>