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00DAFA">
      <w:pPr>
        <w:pStyle w:val="57"/>
        <w:widowControl w:val="0"/>
        <w:autoSpaceDE w:val="0"/>
        <w:autoSpaceDN w:val="0"/>
        <w:rPr>
          <w:rFonts w:ascii="黑体" w:hAnsi="黑体" w:eastAsia="黑体"/>
          <w:sz w:val="32"/>
          <w:szCs w:val="32"/>
        </w:rPr>
      </w:pPr>
      <w:r>
        <w:rPr>
          <w:rFonts w:hint="eastAsia" w:ascii="黑体" w:hAnsi="黑体" w:eastAsia="黑体"/>
          <w:sz w:val="32"/>
          <w:szCs w:val="32"/>
        </w:rPr>
        <w:t>附件3</w:t>
      </w:r>
    </w:p>
    <w:p w14:paraId="78BA1337">
      <w:pPr>
        <w:pStyle w:val="57"/>
        <w:widowControl w:val="0"/>
        <w:autoSpaceDE w:val="0"/>
        <w:autoSpaceDN w:val="0"/>
        <w:jc w:val="center"/>
        <w:rPr>
          <w:rFonts w:hint="eastAsia" w:ascii="FangSong.GB2312" w:hAnsi="FangSong.GB2312"/>
          <w:sz w:val="30"/>
          <w:szCs w:val="30"/>
        </w:rPr>
      </w:pPr>
    </w:p>
    <w:p w14:paraId="1E833BC1">
      <w:pPr>
        <w:pStyle w:val="57"/>
        <w:widowControl w:val="0"/>
        <w:autoSpaceDE w:val="0"/>
        <w:autoSpaceDN w:val="0"/>
        <w:jc w:val="center"/>
        <w:rPr>
          <w:rFonts w:ascii="FangSong.GB2312" w:hAnsi="FangSong.GB2312"/>
          <w:sz w:val="30"/>
          <w:szCs w:val="30"/>
        </w:rPr>
      </w:pPr>
    </w:p>
    <w:p w14:paraId="627AA5D3">
      <w:pPr>
        <w:pStyle w:val="57"/>
        <w:widowControl w:val="0"/>
        <w:autoSpaceDE w:val="0"/>
        <w:autoSpaceDN w:val="0"/>
        <w:jc w:val="center"/>
        <w:rPr>
          <w:rFonts w:ascii="FangSong.GB2312" w:hAnsi="FangSong.GB2312"/>
          <w:sz w:val="30"/>
          <w:szCs w:val="30"/>
        </w:rPr>
      </w:pPr>
    </w:p>
    <w:p w14:paraId="24839A72">
      <w:pPr>
        <w:pStyle w:val="57"/>
        <w:widowControl w:val="0"/>
        <w:autoSpaceDE w:val="0"/>
        <w:autoSpaceDN w:val="0"/>
        <w:jc w:val="center"/>
        <w:rPr>
          <w:rFonts w:hint="eastAsia" w:ascii="FangSong.GB2312" w:hAnsi="FangSong.GB2312"/>
          <w:b/>
          <w:bCs/>
          <w:sz w:val="52"/>
          <w:szCs w:val="52"/>
        </w:rPr>
      </w:pPr>
      <w:r>
        <w:rPr>
          <w:rFonts w:ascii="FangSong.GB2312" w:hAnsi="FangSong.GB2312"/>
          <w:b/>
          <w:bCs/>
          <w:sz w:val="52"/>
          <w:szCs w:val="52"/>
        </w:rPr>
        <w:t>部门整体支出绩效自评报告</w:t>
      </w:r>
    </w:p>
    <w:p w14:paraId="2D43762F">
      <w:pPr>
        <w:pStyle w:val="57"/>
        <w:widowControl w:val="0"/>
        <w:autoSpaceDE w:val="0"/>
        <w:autoSpaceDN w:val="0"/>
        <w:jc w:val="center"/>
        <w:rPr>
          <w:rFonts w:hint="eastAsia" w:ascii="宋体" w:hAnsi="宋体"/>
          <w:sz w:val="36"/>
          <w:szCs w:val="36"/>
        </w:rPr>
      </w:pPr>
    </w:p>
    <w:p w14:paraId="76637D1B">
      <w:pPr>
        <w:pStyle w:val="57"/>
        <w:widowControl w:val="0"/>
        <w:autoSpaceDE w:val="0"/>
        <w:autoSpaceDN w:val="0"/>
        <w:jc w:val="center"/>
        <w:rPr>
          <w:rFonts w:hint="eastAsia" w:ascii="宋体" w:hAnsi="宋体"/>
          <w:sz w:val="36"/>
          <w:szCs w:val="36"/>
        </w:rPr>
      </w:pPr>
    </w:p>
    <w:p w14:paraId="1CFE885A">
      <w:pPr>
        <w:pStyle w:val="57"/>
        <w:widowControl w:val="0"/>
        <w:autoSpaceDE w:val="0"/>
        <w:autoSpaceDN w:val="0"/>
        <w:jc w:val="center"/>
        <w:rPr>
          <w:rFonts w:hint="eastAsia" w:ascii="宋体" w:hAnsi="宋体"/>
          <w:sz w:val="36"/>
          <w:szCs w:val="36"/>
        </w:rPr>
      </w:pPr>
    </w:p>
    <w:p w14:paraId="620E78CF">
      <w:pPr>
        <w:pStyle w:val="57"/>
        <w:widowControl w:val="0"/>
        <w:autoSpaceDE w:val="0"/>
        <w:autoSpaceDN w:val="0"/>
        <w:rPr>
          <w:rFonts w:hint="eastAsia" w:ascii="宋体" w:hAnsi="宋体"/>
          <w:sz w:val="36"/>
          <w:szCs w:val="36"/>
        </w:rPr>
      </w:pPr>
    </w:p>
    <w:p w14:paraId="7FE46224">
      <w:pPr>
        <w:pStyle w:val="57"/>
        <w:widowControl w:val="0"/>
        <w:autoSpaceDE w:val="0"/>
        <w:autoSpaceDN w:val="0"/>
        <w:ind w:left="3575" w:leftChars="904" w:right="745" w:rightChars="355" w:hanging="1677" w:hangingChars="466"/>
        <w:jc w:val="left"/>
        <w:rPr>
          <w:rFonts w:hint="eastAsia" w:ascii="宋体" w:hAnsi="宋体"/>
          <w:sz w:val="36"/>
          <w:szCs w:val="36"/>
        </w:rPr>
      </w:pPr>
      <w:r>
        <w:rPr>
          <w:rFonts w:hint="eastAsia" w:ascii="宋体" w:hAnsi="宋体"/>
          <w:sz w:val="36"/>
          <w:szCs w:val="36"/>
        </w:rPr>
        <w:t>部门名称：乳源瑶族自治县政务服务数据管理局（公章）</w:t>
      </w:r>
    </w:p>
    <w:p w14:paraId="206059BE">
      <w:pPr>
        <w:pStyle w:val="57"/>
        <w:widowControl w:val="0"/>
        <w:autoSpaceDE w:val="0"/>
        <w:autoSpaceDN w:val="0"/>
        <w:ind w:left="3575" w:leftChars="904" w:right="745" w:rightChars="355" w:hanging="1677" w:hangingChars="466"/>
        <w:jc w:val="left"/>
        <w:rPr>
          <w:rFonts w:hint="eastAsia" w:ascii="宋体" w:hAnsi="宋体"/>
          <w:sz w:val="36"/>
          <w:szCs w:val="36"/>
        </w:rPr>
      </w:pPr>
    </w:p>
    <w:p w14:paraId="3A622850">
      <w:pPr>
        <w:pStyle w:val="57"/>
        <w:widowControl w:val="0"/>
        <w:autoSpaceDE w:val="0"/>
        <w:autoSpaceDN w:val="0"/>
        <w:ind w:left="3575" w:leftChars="904" w:right="745" w:rightChars="355" w:hanging="1677" w:hangingChars="466"/>
        <w:jc w:val="left"/>
        <w:rPr>
          <w:rFonts w:hint="eastAsia" w:ascii="宋体" w:hAnsi="宋体"/>
          <w:sz w:val="36"/>
          <w:szCs w:val="36"/>
        </w:rPr>
      </w:pPr>
      <w:r>
        <w:rPr>
          <w:rFonts w:hint="eastAsia" w:ascii="宋体" w:hAnsi="宋体"/>
          <w:sz w:val="36"/>
          <w:szCs w:val="36"/>
        </w:rPr>
        <w:t>填 报 人：吴昊</w:t>
      </w:r>
    </w:p>
    <w:p w14:paraId="1189CA36">
      <w:pPr>
        <w:pStyle w:val="57"/>
        <w:widowControl w:val="0"/>
        <w:autoSpaceDE w:val="0"/>
        <w:autoSpaceDN w:val="0"/>
        <w:ind w:left="3575" w:leftChars="904" w:right="745" w:rightChars="355" w:hanging="1677" w:hangingChars="466"/>
        <w:jc w:val="left"/>
        <w:rPr>
          <w:rFonts w:hint="eastAsia" w:ascii="宋体" w:hAnsi="宋体"/>
          <w:sz w:val="36"/>
          <w:szCs w:val="36"/>
        </w:rPr>
      </w:pPr>
    </w:p>
    <w:p w14:paraId="764AE620">
      <w:pPr>
        <w:pStyle w:val="57"/>
        <w:widowControl w:val="0"/>
        <w:autoSpaceDE w:val="0"/>
        <w:autoSpaceDN w:val="0"/>
        <w:ind w:left="3575" w:leftChars="904" w:right="745" w:rightChars="355" w:hanging="1677" w:hangingChars="466"/>
        <w:jc w:val="left"/>
        <w:rPr>
          <w:rFonts w:hint="eastAsia" w:ascii="宋体" w:hAnsi="宋体"/>
          <w:sz w:val="36"/>
          <w:szCs w:val="36"/>
        </w:rPr>
      </w:pPr>
      <w:r>
        <w:rPr>
          <w:rFonts w:hint="eastAsia" w:ascii="宋体" w:hAnsi="宋体"/>
          <w:sz w:val="36"/>
          <w:szCs w:val="36"/>
        </w:rPr>
        <w:t>联系电话：0751-5378166</w:t>
      </w:r>
    </w:p>
    <w:p w14:paraId="62A06592">
      <w:pPr>
        <w:pStyle w:val="57"/>
        <w:widowControl w:val="0"/>
        <w:autoSpaceDE w:val="0"/>
        <w:autoSpaceDN w:val="0"/>
        <w:ind w:left="3575" w:leftChars="904" w:right="745" w:rightChars="355" w:hanging="1677" w:hangingChars="466"/>
        <w:jc w:val="left"/>
        <w:rPr>
          <w:rFonts w:hint="eastAsia" w:ascii="宋体" w:hAnsi="宋体"/>
          <w:sz w:val="36"/>
          <w:szCs w:val="36"/>
        </w:rPr>
      </w:pPr>
    </w:p>
    <w:p w14:paraId="77EA7016">
      <w:pPr>
        <w:ind w:left="3575" w:leftChars="904" w:right="745" w:rightChars="355" w:hanging="1677" w:hangingChars="466"/>
        <w:jc w:val="left"/>
        <w:rPr>
          <w:rFonts w:hint="eastAsia" w:ascii="宋体" w:hAnsi="宋体"/>
          <w:sz w:val="36"/>
          <w:szCs w:val="36"/>
        </w:rPr>
      </w:pPr>
      <w:r>
        <w:rPr>
          <w:rFonts w:hint="eastAsia" w:ascii="宋体" w:hAnsi="宋体"/>
          <w:sz w:val="36"/>
          <w:szCs w:val="36"/>
        </w:rPr>
        <w:t>填报日期：2024年5月16日</w:t>
      </w:r>
    </w:p>
    <w:p w14:paraId="7E737752">
      <w:pPr>
        <w:pStyle w:val="22"/>
        <w:ind w:firstLine="720"/>
      </w:pPr>
      <w:r>
        <w:rPr>
          <w:rFonts w:ascii="宋体" w:hAnsi="宋体"/>
          <w:sz w:val="36"/>
          <w:szCs w:val="36"/>
        </w:rPr>
        <w:br w:type="page"/>
      </w:r>
      <w:r>
        <w:t>部门基本情况</w:t>
      </w:r>
    </w:p>
    <w:p w14:paraId="0517ECE5">
      <w:pPr>
        <w:pStyle w:val="23"/>
        <w:ind w:firstLine="640"/>
      </w:pPr>
      <w:r>
        <w:t>部门职能</w:t>
      </w:r>
    </w:p>
    <w:p w14:paraId="098977C2">
      <w:pPr>
        <w:pStyle w:val="16"/>
        <w:ind w:firstLine="640"/>
        <w:rPr>
          <w:rFonts w:hint="default"/>
        </w:rPr>
      </w:pPr>
      <w:r>
        <w:t>乳源瑶族自治县政务服务数据管理局于2019年3月成立，主要职能为：</w:t>
      </w:r>
      <w:r>
        <w:rPr>
          <w:b/>
          <w:bCs/>
        </w:rPr>
        <w:t>一是</w:t>
      </w:r>
      <w:r>
        <w:t>组织起草全县政务服务和政务信息化相关政策和规范性文件并组织实施。统筹推进全县“数字政府”改革建设；</w:t>
      </w:r>
      <w:r>
        <w:rPr>
          <w:b/>
          <w:bCs/>
        </w:rPr>
        <w:t>二是</w:t>
      </w:r>
      <w:r>
        <w:t>负责对全县政务信息化项目建设实施集约化管理；</w:t>
      </w:r>
      <w:r>
        <w:rPr>
          <w:b/>
          <w:bCs/>
        </w:rPr>
        <w:t>三是</w:t>
      </w:r>
      <w:r>
        <w:t>负责全县行政审批制度改革、审批服务便民化相关工作；</w:t>
      </w:r>
      <w:r>
        <w:rPr>
          <w:b/>
          <w:bCs/>
        </w:rPr>
        <w:t>四是</w:t>
      </w:r>
      <w:r>
        <w:t>统筹协调县直各部门业务应用系统建设；</w:t>
      </w:r>
      <w:r>
        <w:rPr>
          <w:b/>
          <w:bCs/>
        </w:rPr>
        <w:t>五是</w:t>
      </w:r>
      <w:r>
        <w:t>贯彻执行政务服务、电子政务标准体系建设和相关标准规范；</w:t>
      </w:r>
      <w:r>
        <w:rPr>
          <w:b/>
          <w:bCs/>
        </w:rPr>
        <w:t>六是</w:t>
      </w:r>
      <w:r>
        <w:t>组织协调推进政务数据资源共享和开放；</w:t>
      </w:r>
      <w:r>
        <w:rPr>
          <w:b/>
          <w:bCs/>
        </w:rPr>
        <w:t>七是</w:t>
      </w:r>
      <w:r>
        <w:t>统筹全县电子政务基础设施、信息系统、数据资源等安全保障工作；</w:t>
      </w:r>
      <w:r>
        <w:rPr>
          <w:b/>
          <w:bCs/>
        </w:rPr>
        <w:t>八是</w:t>
      </w:r>
      <w:r>
        <w:t>负责公共资源交易相关管理工作；</w:t>
      </w:r>
      <w:r>
        <w:rPr>
          <w:b/>
          <w:bCs/>
        </w:rPr>
        <w:t>九是</w:t>
      </w:r>
      <w:r>
        <w:t>指导县直各部门和镇、村开展政务服务工作。</w:t>
      </w:r>
    </w:p>
    <w:p w14:paraId="048BE946">
      <w:pPr>
        <w:pStyle w:val="16"/>
        <w:ind w:firstLine="640"/>
      </w:pPr>
      <w:r>
        <w:t>截至2023年底，乳源瑶族自治县政务服务数据管理局本级共有行政编制6名，实际在职5人</w:t>
      </w:r>
      <w:r>
        <w:rPr>
          <w:rFonts w:hint="eastAsia"/>
          <w:lang w:eastAsia="zh-CN"/>
        </w:rPr>
        <w:t>。</w:t>
      </w:r>
      <w:r>
        <w:t>此外，配备后勤聘用人员1人。内设机构共3个，包括：办公室、基础设施与数据资源管理股、政务服务和公共资源管理股。下属单位为乳源瑶族自治县信息中心（非独立核算事业单位），共有事业编制8名，实际在职7人。</w:t>
      </w:r>
    </w:p>
    <w:p w14:paraId="7180DF34">
      <w:pPr>
        <w:pStyle w:val="23"/>
        <w:ind w:firstLine="640"/>
      </w:pPr>
      <w:r>
        <w:t>年度总体工作和重点工作任务</w:t>
      </w:r>
    </w:p>
    <w:p w14:paraId="6FC45184">
      <w:pPr>
        <w:pStyle w:val="24"/>
        <w:ind w:firstLine="640"/>
        <w:rPr>
          <w:rFonts w:hint="default"/>
        </w:rPr>
      </w:pPr>
      <w:r>
        <w:t>年度总体工作</w:t>
      </w:r>
    </w:p>
    <w:p w14:paraId="1DAE4245">
      <w:pPr>
        <w:pStyle w:val="16"/>
        <w:ind w:firstLine="640"/>
      </w:pPr>
      <w:r>
        <w:rPr>
          <w:b/>
          <w:bCs/>
        </w:rPr>
        <w:t>一是</w:t>
      </w:r>
      <w:r>
        <w:t>全面加强党建工作，压紧压实全面从严治党责任；</w:t>
      </w:r>
      <w:r>
        <w:rPr>
          <w:b/>
          <w:bCs/>
        </w:rPr>
        <w:t>二是</w:t>
      </w:r>
      <w:r>
        <w:t>聚焦营商环境优化，不断提升政务服务效能；</w:t>
      </w:r>
      <w:r>
        <w:rPr>
          <w:b/>
          <w:bCs/>
        </w:rPr>
        <w:t>三是</w:t>
      </w:r>
      <w:r>
        <w:t>加强数据资源管理，夯实数字政府支撑底座；</w:t>
      </w:r>
      <w:r>
        <w:rPr>
          <w:b/>
          <w:bCs/>
        </w:rPr>
        <w:t>四是</w:t>
      </w:r>
      <w:r>
        <w:t>强化网络信息安全，切实筑牢网络安全防线；</w:t>
      </w:r>
      <w:r>
        <w:rPr>
          <w:b/>
          <w:bCs/>
        </w:rPr>
        <w:t>五是</w:t>
      </w:r>
      <w:r>
        <w:t>创文等其他工作常抓不懈，助推乳源高质量发展。</w:t>
      </w:r>
    </w:p>
    <w:p w14:paraId="4348E458">
      <w:pPr>
        <w:pStyle w:val="24"/>
        <w:shd w:val="clear"/>
        <w:ind w:firstLine="640"/>
        <w:rPr>
          <w:highlight w:val="none"/>
        </w:rPr>
      </w:pPr>
      <w:r>
        <w:rPr>
          <w:highlight w:val="none"/>
        </w:rPr>
        <w:t>重点工作任务及完成情况</w:t>
      </w:r>
    </w:p>
    <w:p w14:paraId="19B9845F">
      <w:pPr>
        <w:pStyle w:val="16"/>
        <w:ind w:firstLine="640"/>
      </w:pPr>
      <w:r>
        <w:t>2023年本部门的重点工作任务主要包括两类：</w:t>
      </w:r>
      <w:r>
        <w:rPr>
          <w:b/>
          <w:bCs/>
        </w:rPr>
        <w:t>一是</w:t>
      </w:r>
      <w:r>
        <w:t>与资金使用相关的固定性的平台、网络及设备运维任务；</w:t>
      </w:r>
      <w:r>
        <w:rPr>
          <w:b/>
          <w:bCs/>
        </w:rPr>
        <w:t>二是</w:t>
      </w:r>
      <w:r>
        <w:t>与“数字政府”建设相关的其他工作任务。</w:t>
      </w:r>
    </w:p>
    <w:p w14:paraId="31FC631A">
      <w:pPr>
        <w:pStyle w:val="16"/>
        <w:ind w:firstLine="640"/>
      </w:pPr>
      <w:r>
        <w:t>（1）固定性的平台、网络运维工作任务</w:t>
      </w:r>
    </w:p>
    <w:p w14:paraId="044FF4BA">
      <w:pPr>
        <w:pStyle w:val="16"/>
        <w:ind w:firstLine="640"/>
      </w:pPr>
      <w:r>
        <w:t>主要包括县电子政务统一平台技术支持和安全运维、智慧乳源平台运行维护、全县基层公共服务站光纤网络保障、全县基层公共服务平台视频监控管理系统维护、电子政务外网骨干网备用专线使用保障、基层公共服务无线网案例安全保护、全县政务外网骨干网网络维护及机房维护等，与202</w:t>
      </w:r>
      <w:r>
        <w:rPr>
          <w:rFonts w:hint="eastAsia"/>
          <w:lang w:val="en-US" w:eastAsia="zh-CN"/>
        </w:rPr>
        <w:t>2</w:t>
      </w:r>
      <w:r>
        <w:t>年任务无实质变化。开展情况如下：</w:t>
      </w:r>
    </w:p>
    <w:p w14:paraId="6E0BD6E7">
      <w:pPr>
        <w:pStyle w:val="16"/>
        <w:ind w:firstLine="640"/>
      </w:pPr>
      <w:r>
        <w:t>①实现了政务外网全覆盖。维护了覆盖县、镇、村三级的县电子政务外网，将网络交换容量由原来的96Tbps直接扩大了5倍，可满足未来5至8年，全方位、跨行业、多维度的数据互通、共享。目前，大数据互联互通所需的政务外网，横向接入</w:t>
      </w:r>
      <w:r>
        <w:rPr>
          <w:rFonts w:hint="eastAsia"/>
          <w:lang w:val="en-US" w:eastAsia="zh-CN"/>
        </w:rPr>
        <w:t>约</w:t>
      </w:r>
      <w:r>
        <w:t>13</w:t>
      </w:r>
      <w:r>
        <w:rPr>
          <w:rFonts w:hint="eastAsia"/>
          <w:lang w:val="en-US" w:eastAsia="zh-CN"/>
        </w:rPr>
        <w:t>0</w:t>
      </w:r>
      <w:r>
        <w:t>个单位、部门和企业、纵向接9个镇、11</w:t>
      </w:r>
      <w:r>
        <w:rPr>
          <w:rFonts w:hint="eastAsia"/>
          <w:lang w:val="en-US" w:eastAsia="zh-CN"/>
        </w:rPr>
        <w:t>6</w:t>
      </w:r>
      <w:r>
        <w:t>个村居。</w:t>
      </w:r>
    </w:p>
    <w:p w14:paraId="5EE2B912">
      <w:pPr>
        <w:pStyle w:val="16"/>
        <w:ind w:firstLine="640"/>
      </w:pPr>
      <w:r>
        <w:t>②维护了网络和信息系统安全。</w:t>
      </w:r>
      <w:r>
        <w:rPr>
          <w:b/>
          <w:bCs/>
        </w:rPr>
        <w:t>一是</w:t>
      </w:r>
      <w:r>
        <w:t>开展网络安全攻防演练，通过网络安全应急演练，以演代练、以练代战，进一步明确了网络安全工作职责，检验了我县网络安全事件应急预案、网络安全和数据安全管理制度的科学性和可操作性。</w:t>
      </w:r>
      <w:r>
        <w:rPr>
          <w:b/>
          <w:bCs/>
        </w:rPr>
        <w:t>二是</w:t>
      </w:r>
      <w:r>
        <w:t>会同县委网信办、县网警大队开展网络安全和个人信息保护专项检查，检查组先后检查了县委政法委、县教育局等16个单位和部门。从总体上看，各单位能够认真落实网络安全、数据安全等管理主体责任，建立健全了相关工作机制，并认真做好技术加固，网络安全保障能力得到一定的提升。</w:t>
      </w:r>
      <w:r>
        <w:rPr>
          <w:b/>
          <w:bCs/>
        </w:rPr>
        <w:t>三是</w:t>
      </w:r>
      <w:r>
        <w:t>扎实推进政务信息系统网络安全等级保护工作，完成“数字乳源”平台2023年度等级安全保护复评工作，进一步消除了网络安全隐患和短板弱项，网络安全保护能力得到提升。</w:t>
      </w:r>
      <w:r>
        <w:rPr>
          <w:b/>
          <w:bCs/>
        </w:rPr>
        <w:t>四是</w:t>
      </w:r>
      <w:r>
        <w:t>持续推进全县信息系统迁移上云，推动“党建引领智治园区”平台、水旱灾害监测预警平台等2个政务应用上云，集中安全管理。</w:t>
      </w:r>
      <w:r>
        <w:rPr>
          <w:b/>
          <w:bCs/>
        </w:rPr>
        <w:t>五是</w:t>
      </w:r>
      <w:r>
        <w:t>积极参与“粤盾－2023”、“莞盾－2023”网络安全联合攻防演练活动，精心筹备，顺利完成了网络安全联合攻防演练各项工作任务。</w:t>
      </w:r>
      <w:r>
        <w:rPr>
          <w:b/>
          <w:bCs/>
        </w:rPr>
        <w:t>六是</w:t>
      </w:r>
      <w:r>
        <w:t>组织开展“网络安全周”宣传活动，提高全民网络安全意识。</w:t>
      </w:r>
      <w:r>
        <w:rPr>
          <w:b/>
          <w:bCs/>
        </w:rPr>
        <w:t>七是</w:t>
      </w:r>
      <w:r>
        <w:t>联合县委宣传部举办2023年乳源瑶族自治县网络安全和数据安全培训会。此次培训围绕网络安全、数据安全、信息保护等主题，结合数据开发应用知识，通过案例分析深入浅出地向参训人员传授了网络安全（数据安全）技术、“一网共享”平台业务操作等极具指导性的理论，并普及了网络安全相关法律法规，进一步增强了参训单位的网络安全意识及网络安全防护能力。</w:t>
      </w:r>
      <w:r>
        <w:rPr>
          <w:b/>
          <w:bCs/>
        </w:rPr>
        <w:t>八是</w:t>
      </w:r>
      <w:r>
        <w:t>全力推进我县信创工作进度，制定了相应的替代方案，下达了相应的任务，整理了相关的采购流程及相应的资产处置方法。</w:t>
      </w:r>
    </w:p>
    <w:p w14:paraId="5490286C">
      <w:pPr>
        <w:pStyle w:val="16"/>
        <w:ind w:firstLine="640"/>
      </w:pPr>
      <w:r>
        <w:t>③维护了政务服务自助机设备。针对省下放的政务服务自助机设备，做好了进一步的维护检查工作。</w:t>
      </w:r>
    </w:p>
    <w:p w14:paraId="684A2C2B">
      <w:pPr>
        <w:pStyle w:val="16"/>
        <w:ind w:firstLine="640"/>
      </w:pPr>
      <w:r>
        <w:t>（2）“数字政府”建设相关的其他工作任务</w:t>
      </w:r>
    </w:p>
    <w:p w14:paraId="15B5CB83">
      <w:pPr>
        <w:pStyle w:val="16"/>
        <w:ind w:firstLine="640"/>
      </w:pPr>
      <w:r>
        <w:rPr>
          <w:b w:val="0"/>
          <w:bCs w:val="0"/>
        </w:rPr>
        <w:t>①</w:t>
      </w:r>
      <w:r>
        <w:rPr>
          <w:rFonts w:hint="eastAsia"/>
          <w:b w:val="0"/>
          <w:bCs w:val="0"/>
        </w:rPr>
        <w:t>聚焦营商环境优化</w:t>
      </w:r>
      <w:r>
        <w:rPr>
          <w:rFonts w:hint="eastAsia"/>
          <w:b w:val="0"/>
          <w:bCs w:val="0"/>
          <w:lang w:eastAsia="zh-CN"/>
        </w:rPr>
        <w:t>，提升政务服务效能</w:t>
      </w:r>
      <w:r>
        <w:rPr>
          <w:b w:val="0"/>
          <w:bCs w:val="0"/>
        </w:rPr>
        <w:t>。</w:t>
      </w:r>
      <w:r>
        <w:rPr>
          <w:rFonts w:hint="eastAsia"/>
          <w:b/>
          <w:bCs/>
        </w:rPr>
        <w:t>一是</w:t>
      </w:r>
      <w:r>
        <w:rPr>
          <w:rFonts w:hint="eastAsia"/>
        </w:rPr>
        <w:t>不断提升县、镇两级政务服务大厅标准化、规范化建设水平，全县共有依申请政务服务事项实施总数1647项，进驻大厅1560项，进驻率94.71%；纳入综窗窗通办1525项，“综窗”分类受理率92.59%；到现场次数小于等于1次的为1639项，最多跑一次事项率为99.51%；可网办1615项，网上可办率98.06%。</w:t>
      </w:r>
      <w:r>
        <w:rPr>
          <w:rFonts w:hint="eastAsia"/>
          <w:b/>
          <w:bCs/>
        </w:rPr>
        <w:t>二是</w:t>
      </w:r>
      <w:r>
        <w:rPr>
          <w:rFonts w:hint="eastAsia"/>
        </w:rPr>
        <w:t>全面推进政务服务事项标准化“二次统筹”。按照《韶关市全面推行政务服务事项标准化二次统筹工作方案》要求，组织县有关单位对县级业务主管部门二次统筹事项清单进行事项认领和事项统筹标准化工作。目前，我县有关单位认领二次统筹事项清单784项并在事项管理系统完成二次统筹同步操作。</w:t>
      </w:r>
      <w:r>
        <w:rPr>
          <w:rFonts w:hint="eastAsia"/>
          <w:b/>
          <w:bCs/>
        </w:rPr>
        <w:t>三是</w:t>
      </w:r>
      <w:r>
        <w:rPr>
          <w:rFonts w:hint="eastAsia"/>
        </w:rPr>
        <w:t>推进政务服务“视频办”上线。聚焦企业和群众实际需求梳理事项高频事项上线“视频办”，涵盖医疗、社保、农业农村、市场主体、民政等32个部门的各类主题，将线下实体窗口延伸至线上视频窗口，实现线上咨询导办，远程实时交流，进一步为群众提供“零跑动”的政务服务。</w:t>
      </w:r>
      <w:r>
        <w:rPr>
          <w:rFonts w:hint="eastAsia"/>
          <w:b/>
          <w:bCs/>
        </w:rPr>
        <w:t>四是</w:t>
      </w:r>
      <w:r>
        <w:rPr>
          <w:rFonts w:hint="eastAsia"/>
        </w:rPr>
        <w:t>加强电子证照和印章应用，根据省关于电子证照的授权应用的要求，2023年10月，“一门式一网式”政务服务信息系统与数字空间完成了对接，截至目前，我县共梳理本地高频事项与数字空间证照映射239项；我县电子印章覆盖率100%，粤基座实名率达100%。</w:t>
      </w:r>
      <w:r>
        <w:rPr>
          <w:rFonts w:hint="eastAsia"/>
          <w:b/>
          <w:bCs/>
        </w:rPr>
        <w:t>五是</w:t>
      </w:r>
      <w:r>
        <w:rPr>
          <w:rFonts w:hint="eastAsia"/>
        </w:rPr>
        <w:t>推广“粤智助”使用。全县投放“粤智助”设备136台，实现全县乡镇和行政村（社区）100%全覆盖，推动更多政务服务事项“就近办、自助办、一次办成”，切实解决基层群众办事难问题。全年共办理事项总数133.3万件，服务群众13.95万人。</w:t>
      </w:r>
      <w:r>
        <w:rPr>
          <w:rFonts w:hint="eastAsia"/>
          <w:b/>
          <w:bCs/>
        </w:rPr>
        <w:t>六是</w:t>
      </w:r>
      <w:r>
        <w:rPr>
          <w:rFonts w:hint="eastAsia"/>
        </w:rPr>
        <w:t>开展下放依申请行政权力事项扩大乡镇经济社会管理权限试点工作，选取了桂头镇、一六镇开展试点，赋予试点镇更多管理权限，在试点乡镇下放一批县级管理事项，目前已委托下放11项事项，通过在试点乡镇改革，总结试点经验做法，形成一批可复制、可推广的事项，为推动扩大基层服务管理权限，推动高质量发展奠定良好基础。目前，已办理事项78项。</w:t>
      </w:r>
    </w:p>
    <w:p w14:paraId="06C3E4FF">
      <w:pPr>
        <w:pStyle w:val="16"/>
        <w:ind w:firstLine="640"/>
      </w:pPr>
      <w:r>
        <w:t>②</w:t>
      </w:r>
      <w:r>
        <w:rPr>
          <w:rFonts w:hint="eastAsia"/>
        </w:rPr>
        <w:t>加强数据资源管理</w:t>
      </w:r>
      <w:r>
        <w:rPr>
          <w:rFonts w:hint="eastAsia"/>
          <w:lang w:eastAsia="zh-CN"/>
        </w:rPr>
        <w:t>，夯实数字政府支撑底座</w:t>
      </w:r>
      <w:r>
        <w:t>。</w:t>
      </w:r>
      <w:r>
        <w:rPr>
          <w:rFonts w:hint="eastAsia"/>
          <w:b/>
          <w:bCs/>
        </w:rPr>
        <w:t>一是</w:t>
      </w:r>
      <w:r>
        <w:rPr>
          <w:rFonts w:hint="eastAsia"/>
        </w:rPr>
        <w:t>夯实数字政府基础支撑底座。积极推进县电子政务外网升级改造前期工作，完善政务外网“一网多业务平面”业务架构，增强县、镇、村三级的县电子政务外网网络承载能力，实现服务对象“一网连接”、政务业务“一网承载”，全面支撑政务服务“一网通办”、省域治理“一网统管”、政府运行“一网协同”和数据资源“一网共享”。</w:t>
      </w:r>
      <w:r>
        <w:rPr>
          <w:rFonts w:hint="eastAsia"/>
          <w:b/>
          <w:bCs/>
        </w:rPr>
        <w:t>二是</w:t>
      </w:r>
      <w:r>
        <w:rPr>
          <w:rFonts w:hint="eastAsia"/>
        </w:rPr>
        <w:t>推动数据资源统筹管理。为进一步加强对我县政务数据共享工作的组织领导和统筹协调，加快推进政务数据有序共享，我县在乳源瑶族自治县数字政府建设工作领导小组框架下，率先成立了乳源瑶族自治县县级政务数据共享协调小组，统筹推进全县政务数据“一网共享”工作，促进跨层级、跨地域、跨系统、跨部门、跨业务的政务数据共享，做到以制度管人、按程序办事。</w:t>
      </w:r>
      <w:r>
        <w:rPr>
          <w:rFonts w:hint="eastAsia"/>
          <w:b/>
          <w:bCs/>
        </w:rPr>
        <w:t>三是</w:t>
      </w:r>
      <w:r>
        <w:rPr>
          <w:rFonts w:hint="eastAsia"/>
        </w:rPr>
        <w:t>加强政务信息化项目管理。我局坚持数字政府改革建设“全县一盘棋”总体原则，建立了项目一体化管理工作机制，培训并指导好各有关单位做好政务信息化项目一体化录入更新，做好党建引领智治园区平台建设、青山碧水·粤美南水湖-AI生态环境监测预警系统建设等项目立项技术审核工作，切实提高了项目建设的规范性、科学性、统一性，避免了重复建设、分散建设。</w:t>
      </w:r>
      <w:r>
        <w:rPr>
          <w:rFonts w:hint="eastAsia"/>
          <w:b/>
          <w:bCs/>
        </w:rPr>
        <w:t>四是</w:t>
      </w:r>
      <w:r>
        <w:rPr>
          <w:rFonts w:hint="eastAsia"/>
        </w:rPr>
        <w:t>推动落实“百千万村工程”信息化建设专班工作。县信息化建设专班根据省的工作要求，收集了全县36个县有关部门、9个镇及116个行政村共161个联系人信息，并申请开通省“百千万工程”信息综合平台数据填报员权限160人。共汇聚县级指标数据100余条、镇级指标数据500余条、村级指标数据5900余条、视频资源2个、图片资源360张，政策文件20份，同时，高质量完成了县级和各镇的无人机拍摄和视频剪辑工作。</w:t>
      </w:r>
    </w:p>
    <w:p w14:paraId="47E901BD">
      <w:pPr>
        <w:pStyle w:val="23"/>
        <w:ind w:firstLine="640"/>
      </w:pPr>
      <w:r>
        <w:t>部门整体支出绩效目标</w:t>
      </w:r>
    </w:p>
    <w:p w14:paraId="14DCDFE6">
      <w:pPr>
        <w:pStyle w:val="16"/>
        <w:bidi w:val="0"/>
        <w:rPr>
          <w:rFonts w:hint="eastAsia" w:ascii="仿宋_GB2312" w:eastAsia="仿宋_GB2312"/>
          <w:szCs w:val="32"/>
        </w:rPr>
      </w:pPr>
      <w:r>
        <w:rPr>
          <w:rFonts w:hint="eastAsia"/>
        </w:rPr>
        <w:t>结合部门职能，根据202</w:t>
      </w:r>
      <w:r>
        <w:rPr>
          <w:rFonts w:hint="eastAsia"/>
          <w:lang w:val="en-US" w:eastAsia="zh-CN"/>
        </w:rPr>
        <w:t>3</w:t>
      </w:r>
      <w:r>
        <w:rPr>
          <w:rFonts w:hint="eastAsia"/>
        </w:rPr>
        <w:t>年的工作计划，本部门制定的整体支出绩效目标一是完成固定性的平台、网络运维工作任务；二是推进数字政府建设。绩效目标、指标与部门职能、年度工作计划高度相关，同时，信息化运维工作任务的绩效目标达成情况，可从项目验收材料、资金支付材料等方面验证；实施上级安排的“数字政府”建设工作任务的绩效目标达成情况，可从上级通报的考核结果、相关系统平台的统计数据等方面验证，绩效目标合理明确。</w:t>
      </w:r>
    </w:p>
    <w:p w14:paraId="0BBE1E6D">
      <w:pPr>
        <w:pStyle w:val="23"/>
        <w:bidi w:val="0"/>
        <w:rPr>
          <w:rFonts w:hint="eastAsia"/>
        </w:rPr>
      </w:pPr>
      <w:r>
        <w:rPr>
          <w:rFonts w:hint="eastAsia"/>
        </w:rPr>
        <w:t>部门整体支出情况</w:t>
      </w:r>
    </w:p>
    <w:p w14:paraId="1A062C46">
      <w:pPr>
        <w:pStyle w:val="16"/>
        <w:bidi w:val="0"/>
        <w:rPr>
          <w:rFonts w:hint="eastAsia"/>
        </w:rPr>
      </w:pPr>
      <w:r>
        <w:rPr>
          <w:rFonts w:hint="eastAsia"/>
        </w:rPr>
        <w:t>202</w:t>
      </w:r>
      <w:r>
        <w:rPr>
          <w:rFonts w:hint="eastAsia"/>
          <w:lang w:val="en-US" w:eastAsia="zh-CN"/>
        </w:rPr>
        <w:t>3</w:t>
      </w:r>
      <w:r>
        <w:rPr>
          <w:rFonts w:hint="eastAsia"/>
        </w:rPr>
        <w:t>年本部门</w:t>
      </w:r>
      <w:r>
        <w:rPr>
          <w:rFonts w:hint="eastAsia"/>
          <w:lang w:val="en-US" w:eastAsia="zh-CN"/>
        </w:rPr>
        <w:t>年初</w:t>
      </w:r>
      <w:r>
        <w:rPr>
          <w:rFonts w:hint="eastAsia"/>
        </w:rPr>
        <w:t>预算546.78万元，比上年</w:t>
      </w:r>
      <w:r>
        <w:rPr>
          <w:rFonts w:hint="eastAsia"/>
          <w:lang w:val="en-US" w:eastAsia="zh-CN"/>
        </w:rPr>
        <w:t>减少190.56</w:t>
      </w:r>
      <w:r>
        <w:rPr>
          <w:rFonts w:hint="eastAsia"/>
        </w:rPr>
        <w:t>万元，</w:t>
      </w:r>
      <w:r>
        <w:rPr>
          <w:rFonts w:hint="eastAsia"/>
          <w:lang w:val="en-US" w:eastAsia="zh-CN"/>
        </w:rPr>
        <w:t>减少</w:t>
      </w:r>
      <w:r>
        <w:rPr>
          <w:rFonts w:hint="eastAsia"/>
        </w:rPr>
        <w:t>25</w:t>
      </w:r>
      <w:r>
        <w:rPr>
          <w:rFonts w:hint="eastAsia"/>
          <w:lang w:val="en-US" w:eastAsia="zh-CN"/>
        </w:rPr>
        <w:t>.</w:t>
      </w:r>
      <w:r>
        <w:rPr>
          <w:rFonts w:hint="eastAsia"/>
        </w:rPr>
        <w:t>84%。其中，按支出类型分：基本支出</w:t>
      </w:r>
      <w:r>
        <w:rPr>
          <w:rFonts w:hint="eastAsia"/>
          <w:lang w:val="en-US" w:eastAsia="zh-CN"/>
        </w:rPr>
        <w:t>232.43</w:t>
      </w:r>
      <w:r>
        <w:rPr>
          <w:rFonts w:hint="eastAsia"/>
        </w:rPr>
        <w:t>万元，项目支出</w:t>
      </w:r>
      <w:r>
        <w:rPr>
          <w:rFonts w:hint="eastAsia"/>
          <w:lang w:val="en-US" w:eastAsia="zh-CN"/>
        </w:rPr>
        <w:t>314.35</w:t>
      </w:r>
      <w:r>
        <w:rPr>
          <w:rFonts w:hint="eastAsia"/>
        </w:rPr>
        <w:t>万元；按资金来源分：财政拨款</w:t>
      </w:r>
      <w:r>
        <w:rPr>
          <w:rFonts w:hint="eastAsia"/>
          <w:lang w:val="en-US" w:eastAsia="zh-CN"/>
        </w:rPr>
        <w:t>546.78</w:t>
      </w:r>
      <w:r>
        <w:rPr>
          <w:rFonts w:hint="eastAsia"/>
        </w:rPr>
        <w:t>万元，其他资金0万元。</w:t>
      </w:r>
    </w:p>
    <w:p w14:paraId="79E89E1F">
      <w:pPr>
        <w:pStyle w:val="16"/>
        <w:bidi w:val="0"/>
        <w:rPr>
          <w:rFonts w:hint="eastAsia"/>
        </w:rPr>
      </w:pPr>
      <w:r>
        <w:rPr>
          <w:rFonts w:hint="eastAsia"/>
        </w:rPr>
        <w:t>202</w:t>
      </w:r>
      <w:r>
        <w:rPr>
          <w:rFonts w:hint="eastAsia"/>
          <w:lang w:val="en-US" w:eastAsia="zh-CN"/>
        </w:rPr>
        <w:t>3</w:t>
      </w:r>
      <w:r>
        <w:rPr>
          <w:rFonts w:hint="eastAsia"/>
        </w:rPr>
        <w:t>年本部门决算支出526.96万元，比上年</w:t>
      </w:r>
      <w:r>
        <w:rPr>
          <w:rFonts w:hint="eastAsia"/>
          <w:lang w:val="en-US" w:eastAsia="zh-CN"/>
        </w:rPr>
        <w:t>增加159.68</w:t>
      </w:r>
      <w:r>
        <w:rPr>
          <w:rFonts w:hint="eastAsia"/>
        </w:rPr>
        <w:t>万元，</w:t>
      </w:r>
      <w:r>
        <w:rPr>
          <w:rFonts w:hint="eastAsia"/>
          <w:lang w:val="en-US" w:eastAsia="zh-CN"/>
        </w:rPr>
        <w:t>增加43.48</w:t>
      </w:r>
      <w:r>
        <w:rPr>
          <w:rFonts w:hint="eastAsia"/>
        </w:rPr>
        <w:t>%。主要原因</w:t>
      </w:r>
      <w:r>
        <w:rPr>
          <w:rFonts w:hint="eastAsia"/>
          <w:b/>
          <w:bCs/>
        </w:rPr>
        <w:t>一是</w:t>
      </w:r>
      <w:r>
        <w:rPr>
          <w:rFonts w:hint="eastAsia"/>
        </w:rPr>
        <w:t>2022年调整资金支付安排，年中压减了个别项目的部门预算，其中电子政务统一平台运维费顺延至2023年支付；</w:t>
      </w:r>
      <w:r>
        <w:rPr>
          <w:rFonts w:hint="eastAsia"/>
          <w:b/>
          <w:bCs/>
        </w:rPr>
        <w:t>二是</w:t>
      </w:r>
      <w:r>
        <w:rPr>
          <w:rFonts w:hint="eastAsia"/>
        </w:rPr>
        <w:t>2023年根据工作要求，追加了市电子政务平台服务费、政务外网升级改造前期费。</w:t>
      </w:r>
    </w:p>
    <w:p w14:paraId="03656AE8">
      <w:pPr>
        <w:pStyle w:val="16"/>
        <w:bidi w:val="0"/>
        <w:rPr>
          <w:rFonts w:hint="eastAsia" w:ascii="仿宋_GB2312" w:eastAsia="仿宋_GB2312"/>
          <w:szCs w:val="32"/>
        </w:rPr>
      </w:pPr>
      <w:r>
        <w:rPr>
          <w:rFonts w:hint="eastAsia"/>
        </w:rPr>
        <w:t>决算支出按支出类型分：基本支出</w:t>
      </w:r>
      <w:r>
        <w:rPr>
          <w:rFonts w:hint="eastAsia"/>
          <w:lang w:val="en-US" w:eastAsia="zh-CN"/>
        </w:rPr>
        <w:t>232.75</w:t>
      </w:r>
      <w:r>
        <w:rPr>
          <w:rFonts w:hint="eastAsia"/>
        </w:rPr>
        <w:t>万元，项目支出</w:t>
      </w:r>
      <w:r>
        <w:rPr>
          <w:rFonts w:hint="eastAsia"/>
          <w:lang w:val="en-US" w:eastAsia="zh-CN"/>
        </w:rPr>
        <w:t>294.21</w:t>
      </w:r>
      <w:r>
        <w:rPr>
          <w:rFonts w:hint="eastAsia"/>
        </w:rPr>
        <w:t>万元；按资金来源分：财政拨款482.23万元，其他资金44.34万元</w:t>
      </w:r>
      <w:r>
        <w:rPr>
          <w:rFonts w:hint="eastAsia"/>
          <w:lang w:eastAsia="zh-CN"/>
        </w:rPr>
        <w:t>，</w:t>
      </w:r>
      <w:r>
        <w:rPr>
          <w:rFonts w:hint="eastAsia"/>
          <w:lang w:val="en-US" w:eastAsia="zh-CN"/>
        </w:rPr>
        <w:t>以前年度结转结余0.39万元</w:t>
      </w:r>
      <w:r>
        <w:rPr>
          <w:rFonts w:hint="eastAsia"/>
        </w:rPr>
        <w:t>。</w:t>
      </w:r>
    </w:p>
    <w:p w14:paraId="7A7741FB">
      <w:pPr>
        <w:pStyle w:val="22"/>
        <w:bidi w:val="0"/>
        <w:rPr>
          <w:rFonts w:hint="eastAsia"/>
        </w:rPr>
      </w:pPr>
      <w:r>
        <w:rPr>
          <w:rFonts w:hint="eastAsia"/>
        </w:rPr>
        <w:t>绩效自评情况</w:t>
      </w:r>
    </w:p>
    <w:p w14:paraId="5514CD2A">
      <w:pPr>
        <w:pStyle w:val="23"/>
        <w:bidi w:val="0"/>
        <w:rPr>
          <w:rFonts w:hint="eastAsia"/>
        </w:rPr>
      </w:pPr>
      <w:r>
        <w:rPr>
          <w:rFonts w:hint="eastAsia"/>
        </w:rPr>
        <w:t>预算执行情况</w:t>
      </w:r>
    </w:p>
    <w:p w14:paraId="3FE6486F">
      <w:pPr>
        <w:pStyle w:val="16"/>
        <w:bidi w:val="0"/>
        <w:rPr>
          <w:rFonts w:hint="eastAsia"/>
        </w:rPr>
      </w:pPr>
      <w:r>
        <w:rPr>
          <w:rFonts w:hint="eastAsia"/>
        </w:rPr>
        <w:t>部门建立了《乳源瑶族自治县政务服务数据管理局财务管理制度》，制度中参考和引用了《乳源瑶族自治县县直党政机关和事业单位会议费管理办法》《乳源瑶族自治县县直党政机关和事业单位差旅费管理办法》等各项管理办法，并根据本部门的实际情况进行了补充细化，确保资金支出、会计核算规范，未出现有虚列项目支出的情况，未存在有截留、挤占、挪用项目资金的情况，未存在有超标准开支情况；同时，</w:t>
      </w:r>
      <w:r>
        <w:rPr>
          <w:rFonts w:hint="eastAsia"/>
          <w:lang w:val="en-US" w:eastAsia="zh-CN"/>
        </w:rPr>
        <w:t>部门还建立了预算管理、资产管理、政府采购等其他制度，</w:t>
      </w:r>
      <w:r>
        <w:rPr>
          <w:rFonts w:hint="eastAsia"/>
        </w:rPr>
        <w:t>专项资金遵循三重一大的决策原则，经党组会议讨论决策。</w:t>
      </w:r>
    </w:p>
    <w:p w14:paraId="35D47613">
      <w:pPr>
        <w:pStyle w:val="23"/>
        <w:bidi w:val="0"/>
        <w:rPr>
          <w:rFonts w:hint="eastAsia"/>
        </w:rPr>
      </w:pPr>
      <w:r>
        <w:rPr>
          <w:rFonts w:hint="eastAsia"/>
        </w:rPr>
        <w:t>部门整体支出目标实现程度及使用绩效</w:t>
      </w:r>
    </w:p>
    <w:p w14:paraId="402F0A6B">
      <w:pPr>
        <w:pStyle w:val="16"/>
        <w:bidi w:val="0"/>
        <w:rPr>
          <w:rFonts w:hint="eastAsia"/>
        </w:rPr>
      </w:pPr>
      <w:r>
        <w:rPr>
          <w:rFonts w:hint="eastAsia"/>
        </w:rPr>
        <w:t>部门整体支出完成较好，具体如下:</w:t>
      </w:r>
    </w:p>
    <w:p w14:paraId="300D5CC4">
      <w:pPr>
        <w:pStyle w:val="24"/>
        <w:bidi w:val="0"/>
        <w:rPr>
          <w:rFonts w:hint="eastAsia"/>
        </w:rPr>
      </w:pPr>
      <w:r>
        <w:rPr>
          <w:rFonts w:hint="eastAsia"/>
        </w:rPr>
        <w:t>经济性方面</w:t>
      </w:r>
    </w:p>
    <w:p w14:paraId="04496105">
      <w:pPr>
        <w:pStyle w:val="16"/>
        <w:bidi w:val="0"/>
        <w:rPr>
          <w:rFonts w:hint="eastAsia"/>
        </w:rPr>
      </w:pPr>
      <w:r>
        <w:rPr>
          <w:rFonts w:hint="eastAsia"/>
        </w:rPr>
        <w:t>（1）“三公”经费控制率。部门本年度“三公”经费实际支出数</w:t>
      </w:r>
      <w:r>
        <w:rPr>
          <w:rFonts w:hint="eastAsia"/>
          <w:lang w:val="en-US" w:eastAsia="zh-CN"/>
        </w:rPr>
        <w:t>1.09</w:t>
      </w:r>
      <w:r>
        <w:rPr>
          <w:rFonts w:hint="eastAsia"/>
        </w:rPr>
        <w:t>万元，</w:t>
      </w:r>
      <w:r>
        <w:rPr>
          <w:rFonts w:hint="eastAsia"/>
          <w:lang w:val="en-US" w:eastAsia="zh-CN"/>
        </w:rPr>
        <w:t>年初预算</w:t>
      </w:r>
      <w:r>
        <w:rPr>
          <w:rFonts w:hint="eastAsia"/>
        </w:rPr>
        <w:t>安排的三公经费数4.5万元，</w:t>
      </w:r>
      <w:r>
        <w:rPr>
          <w:rFonts w:hint="eastAsia"/>
          <w:lang w:val="en-US" w:eastAsia="zh-CN"/>
        </w:rPr>
        <w:t>调整后预算2.55万元，</w:t>
      </w:r>
      <w:r>
        <w:rPr>
          <w:rFonts w:hint="eastAsia"/>
        </w:rPr>
        <w:t>“三公”经费控制率为42</w:t>
      </w:r>
      <w:r>
        <w:rPr>
          <w:rFonts w:hint="eastAsia"/>
          <w:lang w:val="en-US" w:eastAsia="zh-CN"/>
        </w:rPr>
        <w:t>.</w:t>
      </w:r>
      <w:r>
        <w:rPr>
          <w:rFonts w:hint="eastAsia"/>
        </w:rPr>
        <w:t>7</w:t>
      </w:r>
      <w:r>
        <w:rPr>
          <w:rFonts w:hint="eastAsia"/>
          <w:lang w:val="en-US" w:eastAsia="zh-CN"/>
        </w:rPr>
        <w:t>5</w:t>
      </w:r>
      <w:r>
        <w:rPr>
          <w:rFonts w:hint="eastAsia"/>
        </w:rPr>
        <w:t>%。</w:t>
      </w:r>
    </w:p>
    <w:p w14:paraId="59E12ED9">
      <w:pPr>
        <w:pStyle w:val="16"/>
        <w:bidi w:val="0"/>
        <w:rPr>
          <w:rFonts w:hint="eastAsia"/>
        </w:rPr>
      </w:pPr>
      <w:r>
        <w:rPr>
          <w:rFonts w:hint="eastAsia"/>
        </w:rPr>
        <w:t>（2）</w:t>
      </w:r>
      <w:r>
        <w:rPr>
          <w:rStyle w:val="59"/>
          <w:rFonts w:hint="eastAsia"/>
        </w:rPr>
        <w:t>公用经费控制率</w:t>
      </w:r>
      <w:r>
        <w:rPr>
          <w:rFonts w:hint="eastAsia"/>
        </w:rPr>
        <w:t>。本年度</w:t>
      </w:r>
      <w:r>
        <w:rPr>
          <w:rFonts w:hint="eastAsia"/>
          <w:lang w:val="en-US" w:eastAsia="zh-CN"/>
        </w:rPr>
        <w:t>人员调整后</w:t>
      </w:r>
      <w:r>
        <w:rPr>
          <w:rFonts w:hint="eastAsia"/>
        </w:rPr>
        <w:t>公用经费总额为</w:t>
      </w:r>
      <w:r>
        <w:rPr>
          <w:rFonts w:hint="eastAsia"/>
          <w:lang w:val="en-US" w:eastAsia="zh-CN"/>
        </w:rPr>
        <w:t>20.38</w:t>
      </w:r>
      <w:r>
        <w:rPr>
          <w:rFonts w:hint="eastAsia"/>
        </w:rPr>
        <w:t>万元，在本年安排的预算中支出的金额为</w:t>
      </w:r>
      <w:r>
        <w:rPr>
          <w:rFonts w:hint="eastAsia"/>
          <w:lang w:val="en-US" w:eastAsia="zh-CN"/>
        </w:rPr>
        <w:t>20.38</w:t>
      </w:r>
      <w:r>
        <w:rPr>
          <w:rFonts w:hint="eastAsia"/>
        </w:rPr>
        <w:t>万元</w:t>
      </w:r>
      <w:r>
        <w:rPr>
          <w:rFonts w:hint="eastAsia"/>
          <w:lang w:eastAsia="zh-CN"/>
        </w:rPr>
        <w:t>，</w:t>
      </w:r>
      <w:r>
        <w:rPr>
          <w:rFonts w:hint="eastAsia"/>
        </w:rPr>
        <w:t>公用经费控制率为</w:t>
      </w:r>
      <w:r>
        <w:rPr>
          <w:rFonts w:hint="eastAsia"/>
          <w:lang w:val="en-US" w:eastAsia="zh-CN"/>
        </w:rPr>
        <w:t>100</w:t>
      </w:r>
      <w:r>
        <w:rPr>
          <w:rFonts w:hint="eastAsia"/>
        </w:rPr>
        <w:t>%。</w:t>
      </w:r>
    </w:p>
    <w:p w14:paraId="50EAFA45">
      <w:pPr>
        <w:pStyle w:val="16"/>
        <w:bidi w:val="0"/>
        <w:rPr>
          <w:rFonts w:hint="eastAsia"/>
        </w:rPr>
      </w:pPr>
      <w:r>
        <w:rPr>
          <w:rFonts w:hint="eastAsia"/>
        </w:rPr>
        <w:t>（3）预算调整率。年初预算</w:t>
      </w:r>
      <w:r>
        <w:rPr>
          <w:rFonts w:hint="eastAsia"/>
          <w:lang w:val="en-US" w:eastAsia="zh-CN"/>
        </w:rPr>
        <w:t>收入</w:t>
      </w:r>
      <w:r>
        <w:rPr>
          <w:rFonts w:hint="eastAsia"/>
        </w:rPr>
        <w:t>数为</w:t>
      </w:r>
      <w:r>
        <w:rPr>
          <w:rFonts w:hint="eastAsia"/>
          <w:lang w:val="en-US" w:eastAsia="zh-CN"/>
        </w:rPr>
        <w:t>546.78</w:t>
      </w:r>
      <w:r>
        <w:rPr>
          <w:rFonts w:hint="eastAsia"/>
        </w:rPr>
        <w:t>万元，本年度</w:t>
      </w:r>
      <w:r>
        <w:rPr>
          <w:rFonts w:hint="eastAsia"/>
          <w:lang w:val="en-US" w:eastAsia="zh-CN"/>
        </w:rPr>
        <w:t>调整后</w:t>
      </w:r>
      <w:r>
        <w:rPr>
          <w:rFonts w:hint="eastAsia"/>
        </w:rPr>
        <w:t>预算</w:t>
      </w:r>
      <w:r>
        <w:rPr>
          <w:rFonts w:hint="eastAsia"/>
          <w:lang w:val="en-US" w:eastAsia="zh-CN"/>
        </w:rPr>
        <w:t>收入</w:t>
      </w:r>
      <w:r>
        <w:rPr>
          <w:rFonts w:hint="eastAsia"/>
        </w:rPr>
        <w:t>数为</w:t>
      </w:r>
      <w:r>
        <w:rPr>
          <w:rFonts w:hint="eastAsia"/>
          <w:lang w:val="en-US" w:eastAsia="zh-CN"/>
        </w:rPr>
        <w:t>528.13</w:t>
      </w:r>
      <w:r>
        <w:rPr>
          <w:rFonts w:hint="eastAsia"/>
        </w:rPr>
        <w:t>万元，预算调整率为</w:t>
      </w:r>
      <w:r>
        <w:rPr>
          <w:rFonts w:hint="eastAsia"/>
          <w:lang w:val="en-US" w:eastAsia="zh-CN"/>
        </w:rPr>
        <w:t>3.41</w:t>
      </w:r>
      <w:r>
        <w:rPr>
          <w:rFonts w:hint="eastAsia"/>
        </w:rPr>
        <w:t>%。</w:t>
      </w:r>
    </w:p>
    <w:p w14:paraId="66C1A4BE">
      <w:pPr>
        <w:pStyle w:val="24"/>
        <w:bidi w:val="0"/>
        <w:rPr>
          <w:rFonts w:hint="eastAsia"/>
        </w:rPr>
      </w:pPr>
      <w:r>
        <w:rPr>
          <w:rFonts w:hint="eastAsia"/>
        </w:rPr>
        <w:t>效率性方面</w:t>
      </w:r>
    </w:p>
    <w:p w14:paraId="3D6BC679">
      <w:pPr>
        <w:pStyle w:val="16"/>
        <w:bidi w:val="0"/>
        <w:rPr>
          <w:rFonts w:hint="eastAsia"/>
        </w:rPr>
      </w:pPr>
      <w:r>
        <w:rPr>
          <w:rFonts w:hint="eastAsia"/>
        </w:rPr>
        <w:t>本部门202</w:t>
      </w:r>
      <w:r>
        <w:rPr>
          <w:rFonts w:hint="eastAsia"/>
          <w:lang w:val="en-US" w:eastAsia="zh-CN"/>
        </w:rPr>
        <w:t>3</w:t>
      </w:r>
      <w:r>
        <w:rPr>
          <w:rFonts w:hint="eastAsia"/>
        </w:rPr>
        <w:t>年共有</w:t>
      </w:r>
      <w:r>
        <w:rPr>
          <w:rFonts w:hint="eastAsia"/>
          <w:lang w:val="en-US" w:eastAsia="zh-CN"/>
        </w:rPr>
        <w:t>10</w:t>
      </w:r>
      <w:r>
        <w:rPr>
          <w:rFonts w:hint="eastAsia"/>
        </w:rPr>
        <w:t>项的重点工作，</w:t>
      </w:r>
      <w:r>
        <w:rPr>
          <w:rFonts w:hint="eastAsia"/>
          <w:lang w:val="en-US" w:eastAsia="zh-CN"/>
        </w:rPr>
        <w:t>其中有2项工作发生变动：</w:t>
      </w:r>
      <w:r>
        <w:rPr>
          <w:rFonts w:hint="eastAsia"/>
          <w:b/>
          <w:bCs/>
          <w:lang w:val="en-US" w:eastAsia="zh-CN"/>
        </w:rPr>
        <w:t>一是</w:t>
      </w:r>
      <w:r>
        <w:rPr>
          <w:rFonts w:hint="eastAsia"/>
          <w:lang w:val="en-US" w:eastAsia="zh-CN"/>
        </w:rPr>
        <w:t>全县信息系统网络安全等级保护工作因乙方单位经营不善而停止实施,并签订终止协议,预算已按流程全额压减；</w:t>
      </w:r>
      <w:r>
        <w:rPr>
          <w:rFonts w:hint="eastAsia"/>
          <w:b/>
          <w:bCs/>
          <w:lang w:val="en-US" w:eastAsia="zh-CN"/>
        </w:rPr>
        <w:t>二是</w:t>
      </w:r>
      <w:r>
        <w:rPr>
          <w:rFonts w:hint="eastAsia"/>
          <w:lang w:val="en-US" w:eastAsia="zh-CN"/>
        </w:rPr>
        <w:t>森林防火平台项目处在停用状态，主要原因：卫星遥感等多项服务陆续到期，由于财政资金紧缺，暂未解决运维经费；同时，本部门为项目建设方，林业局为使用方。根据韶关市网警支队对网络等级安全保护的备案要求，应由使用方进行运维，并进行等保测评备案，而林业局暂未接收该项目，无法完成等保测评，该事项仍在协商中。其余8项工作</w:t>
      </w:r>
      <w:r>
        <w:rPr>
          <w:rFonts w:hint="eastAsia"/>
        </w:rPr>
        <w:t>已全部完成，项目完成及时性好。绩效目标完成率100%。</w:t>
      </w:r>
    </w:p>
    <w:p w14:paraId="03A362A4">
      <w:pPr>
        <w:pStyle w:val="24"/>
        <w:bidi w:val="0"/>
        <w:rPr>
          <w:rFonts w:hint="eastAsia"/>
        </w:rPr>
      </w:pPr>
      <w:r>
        <w:rPr>
          <w:rFonts w:hint="eastAsia"/>
        </w:rPr>
        <w:t>效益性方面</w:t>
      </w:r>
    </w:p>
    <w:p w14:paraId="27ED37B7">
      <w:pPr>
        <w:pStyle w:val="16"/>
        <w:bidi w:val="0"/>
        <w:rPr>
          <w:rFonts w:hint="eastAsia"/>
        </w:rPr>
      </w:pPr>
      <w:r>
        <w:rPr>
          <w:rFonts w:hint="eastAsia"/>
        </w:rPr>
        <w:t>通过完成部门整体支出重点工作任务，本部门主要取得了以下</w:t>
      </w:r>
      <w:r>
        <w:rPr>
          <w:rFonts w:hint="eastAsia"/>
          <w:lang w:val="en-US" w:eastAsia="zh-CN"/>
        </w:rPr>
        <w:t>四</w:t>
      </w:r>
      <w:r>
        <w:rPr>
          <w:rFonts w:hint="eastAsia"/>
        </w:rPr>
        <w:t>个方面的效益：</w:t>
      </w:r>
    </w:p>
    <w:p w14:paraId="52247C9E">
      <w:pPr>
        <w:pStyle w:val="16"/>
        <w:bidi w:val="0"/>
        <w:rPr>
          <w:rFonts w:hint="eastAsia"/>
        </w:rPr>
      </w:pPr>
      <w:r>
        <w:rPr>
          <w:rFonts w:hint="eastAsia"/>
          <w:b/>
          <w:bCs/>
        </w:rPr>
        <w:t>一是</w:t>
      </w:r>
      <w:r>
        <w:rPr>
          <w:rFonts w:hint="eastAsia"/>
        </w:rPr>
        <w:t>为全县所有党政机关、事业单位和部门、村居公共综合服务站提供了光纤网络上网、办公应用、信息公开、公共服务、信息安全防护等服务提供技术支撑，切实保障了全县的网络环境，维持了办公条件的稳定。</w:t>
      </w:r>
    </w:p>
    <w:p w14:paraId="04880E06">
      <w:pPr>
        <w:pStyle w:val="16"/>
        <w:bidi w:val="0"/>
        <w:rPr>
          <w:rFonts w:hint="eastAsia"/>
        </w:rPr>
      </w:pPr>
      <w:r>
        <w:rPr>
          <w:rFonts w:hint="eastAsia"/>
          <w:b/>
          <w:bCs/>
          <w:lang w:val="en-US" w:eastAsia="zh-CN"/>
        </w:rPr>
        <w:t>二</w:t>
      </w:r>
      <w:r>
        <w:rPr>
          <w:rFonts w:hint="eastAsia"/>
          <w:b/>
          <w:bCs/>
        </w:rPr>
        <w:t>是</w:t>
      </w:r>
      <w:r>
        <w:rPr>
          <w:rFonts w:hint="eastAsia"/>
        </w:rPr>
        <w:t>保证了全县村居公共服务站视频监控系统的稳定运行，为全县基层公共服务的效能监察提供了有力手段，有利于提高村居公共服务站办事人员的工作效能。同时，视频安防监控功能也有效改善了村居公共服务站周边的治安状况，保障了民众的人身安全。</w:t>
      </w:r>
    </w:p>
    <w:p w14:paraId="25B27DC1">
      <w:pPr>
        <w:pStyle w:val="16"/>
        <w:bidi w:val="0"/>
        <w:rPr>
          <w:rFonts w:hint="eastAsia"/>
        </w:rPr>
      </w:pPr>
      <w:r>
        <w:rPr>
          <w:rFonts w:hint="eastAsia"/>
          <w:b/>
          <w:bCs/>
          <w:lang w:val="en-US" w:eastAsia="zh-CN"/>
        </w:rPr>
        <w:t>三</w:t>
      </w:r>
      <w:r>
        <w:rPr>
          <w:rFonts w:hint="eastAsia"/>
          <w:b/>
          <w:bCs/>
        </w:rPr>
        <w:t>是</w:t>
      </w:r>
      <w:r>
        <w:rPr>
          <w:rFonts w:hint="eastAsia"/>
        </w:rPr>
        <w:t>保障了政府视频会议室控制系统的正常运行，实现县政府各类视频会议的顺利召开，节省跨区域会议的行政成本，有效提升了工作效率，特别是在疫情期间，为上级部门对我县疫情防控工作的精神传达和工作部署提供了一个</w:t>
      </w:r>
      <w:r>
        <w:rPr>
          <w:rFonts w:hint="eastAsia"/>
          <w:lang w:val="en-US" w:eastAsia="zh-CN"/>
        </w:rPr>
        <w:t>便捷</w:t>
      </w:r>
      <w:r>
        <w:rPr>
          <w:rFonts w:hint="eastAsia"/>
        </w:rPr>
        <w:t>渠道。</w:t>
      </w:r>
    </w:p>
    <w:p w14:paraId="2DADF4DD">
      <w:pPr>
        <w:pStyle w:val="16"/>
        <w:bidi w:val="0"/>
        <w:rPr>
          <w:rFonts w:hint="eastAsia"/>
        </w:rPr>
      </w:pPr>
      <w:r>
        <w:rPr>
          <w:rFonts w:hint="eastAsia"/>
          <w:b/>
          <w:bCs/>
          <w:lang w:val="en-US" w:eastAsia="zh-CN"/>
        </w:rPr>
        <w:t>四</w:t>
      </w:r>
      <w:r>
        <w:rPr>
          <w:rFonts w:hint="eastAsia"/>
          <w:b/>
          <w:bCs/>
        </w:rPr>
        <w:t>是</w:t>
      </w:r>
      <w:r>
        <w:rPr>
          <w:rFonts w:hint="eastAsia"/>
        </w:rPr>
        <w:t>推进了数字政府建设，通过加大力度宣传推广“粤省事”、“政务服务一体机”等便民举措，提升了我县的政务服务水平，提高了企业、群众的办事效率，使人民拥有幸福感、获得感。</w:t>
      </w:r>
    </w:p>
    <w:p w14:paraId="5C906C75">
      <w:pPr>
        <w:pStyle w:val="23"/>
        <w:bidi w:val="0"/>
        <w:rPr>
          <w:rFonts w:hint="eastAsia"/>
        </w:rPr>
      </w:pPr>
      <w:r>
        <w:rPr>
          <w:rFonts w:hint="eastAsia"/>
        </w:rPr>
        <w:t>自评结论</w:t>
      </w:r>
    </w:p>
    <w:p w14:paraId="24568C4D">
      <w:pPr>
        <w:pStyle w:val="16"/>
        <w:bidi w:val="0"/>
        <w:rPr>
          <w:rFonts w:hint="eastAsia"/>
        </w:rPr>
      </w:pPr>
      <w:r>
        <w:rPr>
          <w:rFonts w:hint="eastAsia"/>
        </w:rPr>
        <w:t>总体而言，本部门202</w:t>
      </w:r>
      <w:r>
        <w:rPr>
          <w:rFonts w:hint="eastAsia"/>
          <w:lang w:val="en-US" w:eastAsia="zh-CN"/>
        </w:rPr>
        <w:t>3</w:t>
      </w:r>
      <w:r>
        <w:rPr>
          <w:rFonts w:hint="eastAsia"/>
        </w:rPr>
        <w:t>年较好完成了部门工作与部门职能，做好了部门长远规划，不断完善部门相关制度，完善部门资金内部管理机制，不断提高部门整体资源配置水平，提高资源使用效率，自评分9</w:t>
      </w:r>
      <w:r>
        <w:rPr>
          <w:rFonts w:hint="eastAsia"/>
          <w:lang w:val="en-US" w:eastAsia="zh-CN"/>
        </w:rPr>
        <w:t>8</w:t>
      </w:r>
      <w:r>
        <w:rPr>
          <w:rFonts w:hint="eastAsia"/>
        </w:rPr>
        <w:t>分。</w:t>
      </w:r>
    </w:p>
    <w:p w14:paraId="0D8E5925">
      <w:pPr>
        <w:pStyle w:val="22"/>
        <w:bidi w:val="0"/>
      </w:pPr>
      <w:r>
        <w:rPr>
          <w:rFonts w:hint="eastAsia"/>
        </w:rPr>
        <w:t>存在问题及改进意见</w:t>
      </w:r>
    </w:p>
    <w:p w14:paraId="1E9C3BF1">
      <w:pPr>
        <w:pStyle w:val="23"/>
        <w:bidi w:val="0"/>
        <w:rPr>
          <w:rFonts w:hint="default"/>
          <w:lang w:val="en-US" w:eastAsia="zh-CN"/>
        </w:rPr>
      </w:pPr>
      <w:r>
        <w:rPr>
          <w:rFonts w:hint="eastAsia"/>
          <w:lang w:val="en-US" w:eastAsia="zh-CN"/>
        </w:rPr>
        <w:t>存在问题</w:t>
      </w:r>
    </w:p>
    <w:p w14:paraId="18657281">
      <w:pPr>
        <w:pStyle w:val="16"/>
        <w:bidi w:val="0"/>
        <w:rPr>
          <w:rFonts w:hint="eastAsia" w:eastAsia="仿宋_GB2312"/>
          <w:lang w:eastAsia="zh-CN"/>
        </w:rPr>
      </w:pPr>
      <w:r>
        <w:rPr>
          <w:rFonts w:hint="eastAsia"/>
          <w:lang w:eastAsia="zh-CN"/>
        </w:rPr>
        <w:t>无。</w:t>
      </w:r>
      <w:bookmarkStart w:id="0" w:name="_GoBack"/>
      <w:bookmarkEnd w:id="0"/>
    </w:p>
    <w:p w14:paraId="22DA7B9D">
      <w:pPr>
        <w:pStyle w:val="23"/>
        <w:bidi w:val="0"/>
        <w:rPr>
          <w:rFonts w:hint="eastAsia"/>
          <w:lang w:val="en-US" w:eastAsia="zh-CN"/>
        </w:rPr>
      </w:pPr>
      <w:r>
        <w:rPr>
          <w:rFonts w:hint="eastAsia"/>
          <w:lang w:val="en-US" w:eastAsia="zh-CN"/>
        </w:rPr>
        <w:t>改进意见</w:t>
      </w:r>
    </w:p>
    <w:p w14:paraId="71660B99">
      <w:pPr>
        <w:pStyle w:val="16"/>
        <w:bidi w:val="0"/>
        <w:rPr>
          <w:rFonts w:hint="default"/>
          <w:lang w:val="en-US" w:eastAsia="zh-CN"/>
        </w:rPr>
      </w:pPr>
      <w:r>
        <w:rPr>
          <w:rFonts w:hint="eastAsia"/>
          <w:lang w:val="en-US" w:eastAsia="zh-CN"/>
        </w:rPr>
        <w:t>无</w:t>
      </w:r>
      <w:r>
        <w:rPr>
          <w:rFonts w:hint="default"/>
          <w:lang w:val="en-US" w:eastAsia="zh-CN"/>
        </w:rPr>
        <w:t>。</w:t>
      </w:r>
    </w:p>
    <w:sectPr>
      <w:pgSz w:w="11906" w:h="16838"/>
      <w:pgMar w:top="1418" w:right="1418" w:bottom="1418" w:left="1418" w:header="851" w:footer="992" w:gutter="17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FangSong.GB2312">
    <w:altName w:val="Calibri"/>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755BAA"/>
    <w:multiLevelType w:val="multilevel"/>
    <w:tmpl w:val="11755BAA"/>
    <w:lvl w:ilvl="0" w:tentative="0">
      <w:start w:val="1"/>
      <w:numFmt w:val="chineseCountingThousand"/>
      <w:pStyle w:val="28"/>
      <w:suff w:val="nothing"/>
      <w:lvlText w:val="第%1章  "/>
      <w:lvlJc w:val="center"/>
      <w:pPr>
        <w:ind w:left="0" w:firstLine="0"/>
      </w:pPr>
      <w:rPr>
        <w:rFonts w:hint="eastAsia"/>
      </w:rPr>
    </w:lvl>
    <w:lvl w:ilvl="1" w:tentative="0">
      <w:start w:val="1"/>
      <w:numFmt w:val="chineseCountingThousand"/>
      <w:lvlRestart w:val="0"/>
      <w:pStyle w:val="25"/>
      <w:suff w:val="nothing"/>
      <w:lvlText w:val="第%2条  "/>
      <w:lvlJc w:val="left"/>
      <w:pPr>
        <w:ind w:left="0" w:firstLine="400"/>
      </w:pPr>
      <w:rPr>
        <w:rFonts w:hint="eastAsia" w:ascii="方正黑体简体" w:eastAsia="方正黑体简体"/>
        <w:b w:val="0"/>
        <w:bCs w: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1AA122DA"/>
    <w:multiLevelType w:val="multilevel"/>
    <w:tmpl w:val="1AA122DA"/>
    <w:lvl w:ilvl="0" w:tentative="0">
      <w:start w:val="1"/>
      <w:numFmt w:val="chineseCounting"/>
      <w:pStyle w:val="22"/>
      <w:suff w:val="nothing"/>
      <w:lvlText w:val="%1、"/>
      <w:lvlJc w:val="left"/>
      <w:pPr>
        <w:tabs>
          <w:tab w:val="left" w:pos="0"/>
        </w:tabs>
        <w:ind w:left="0" w:firstLine="40"/>
      </w:pPr>
      <w:rPr>
        <w:rFonts w:hint="eastAsia"/>
      </w:rPr>
    </w:lvl>
    <w:lvl w:ilvl="1" w:tentative="0">
      <w:start w:val="1"/>
      <w:numFmt w:val="chineseCounting"/>
      <w:pStyle w:val="23"/>
      <w:suff w:val="nothing"/>
      <w:lvlText w:val="（%2）"/>
      <w:lvlJc w:val="left"/>
      <w:pPr>
        <w:tabs>
          <w:tab w:val="left" w:pos="0"/>
        </w:tabs>
        <w:ind w:left="0" w:firstLine="40"/>
      </w:pPr>
      <w:rPr>
        <w:rFonts w:hint="eastAsia"/>
      </w:rPr>
    </w:lvl>
    <w:lvl w:ilvl="2" w:tentative="0">
      <w:start w:val="1"/>
      <w:numFmt w:val="decimal"/>
      <w:pStyle w:val="24"/>
      <w:suff w:val="nothing"/>
      <w:lvlText w:val="%3．"/>
      <w:lvlJc w:val="left"/>
      <w:pPr>
        <w:ind w:left="0" w:firstLine="4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5ZGNhYTc5NjNlOWEzYTQyYTI2MTQ1YmFlYmVmZmEifQ=="/>
  </w:docVars>
  <w:rsids>
    <w:rsidRoot w:val="00CD4BD2"/>
    <w:rsid w:val="00031D0A"/>
    <w:rsid w:val="0016378A"/>
    <w:rsid w:val="00255CE1"/>
    <w:rsid w:val="00395C6A"/>
    <w:rsid w:val="0046674B"/>
    <w:rsid w:val="00616EB7"/>
    <w:rsid w:val="00815C33"/>
    <w:rsid w:val="009B7B20"/>
    <w:rsid w:val="00A076CB"/>
    <w:rsid w:val="00A835AE"/>
    <w:rsid w:val="00C51234"/>
    <w:rsid w:val="00C554C5"/>
    <w:rsid w:val="00CD4BD2"/>
    <w:rsid w:val="00ED3851"/>
    <w:rsid w:val="00FC0BE6"/>
    <w:rsid w:val="04A20021"/>
    <w:rsid w:val="063D2AF4"/>
    <w:rsid w:val="0E8143D8"/>
    <w:rsid w:val="13523807"/>
    <w:rsid w:val="153B0F5F"/>
    <w:rsid w:val="19683308"/>
    <w:rsid w:val="19ED6A48"/>
    <w:rsid w:val="25E5416F"/>
    <w:rsid w:val="26AC3A6A"/>
    <w:rsid w:val="464A0752"/>
    <w:rsid w:val="4C21651B"/>
    <w:rsid w:val="4E5B79A0"/>
    <w:rsid w:val="54560317"/>
    <w:rsid w:val="640210A3"/>
    <w:rsid w:val="7E123B46"/>
    <w:rsid w:val="7E9002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38"/>
    <w:qFormat/>
    <w:uiPriority w:val="9"/>
    <w:pPr>
      <w:keepNext/>
      <w:keepLines/>
      <w:ind w:firstLine="640"/>
      <w:outlineLvl w:val="0"/>
    </w:pPr>
    <w:rPr>
      <w:rFonts w:ascii="方正黑体简体" w:hAnsi="方正黑体简体" w:eastAsia="方正黑体简体" w:cs="方正黑体简体"/>
      <w:kern w:val="44"/>
      <w:szCs w:val="44"/>
    </w:rPr>
  </w:style>
  <w:style w:type="paragraph" w:styleId="3">
    <w:name w:val="heading 2"/>
    <w:basedOn w:val="1"/>
    <w:next w:val="1"/>
    <w:link w:val="4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4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rPr>
  </w:style>
  <w:style w:type="paragraph" w:styleId="5">
    <w:name w:val="heading 4"/>
    <w:basedOn w:val="1"/>
    <w:next w:val="1"/>
    <w:link w:val="42"/>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43"/>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szCs w:val="24"/>
    </w:rPr>
  </w:style>
  <w:style w:type="paragraph" w:styleId="7">
    <w:name w:val="heading 6"/>
    <w:basedOn w:val="1"/>
    <w:next w:val="1"/>
    <w:link w:val="44"/>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rPr>
  </w:style>
  <w:style w:type="paragraph" w:styleId="8">
    <w:name w:val="heading 7"/>
    <w:basedOn w:val="1"/>
    <w:next w:val="1"/>
    <w:link w:val="45"/>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46"/>
    <w:semiHidden/>
    <w:unhideWhenUsed/>
    <w:qFormat/>
    <w:uiPriority w:val="9"/>
    <w:pPr>
      <w:keepNext/>
      <w:keepLines/>
      <w:outlineLvl w:val="7"/>
    </w:pPr>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47"/>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49"/>
    <w:qFormat/>
    <w:uiPriority w:val="11"/>
    <w:pPr>
      <w:spacing w:after="160"/>
      <w:ind w:firstLine="200" w:firstLineChars="20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48"/>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customStyle="1" w:styleId="15">
    <w:name w:val="公文_大标题"/>
    <w:qFormat/>
    <w:uiPriority w:val="0"/>
    <w:pPr>
      <w:spacing w:line="600" w:lineRule="exact"/>
      <w:jc w:val="center"/>
    </w:pPr>
    <w:rPr>
      <w:rFonts w:hint="eastAsia" w:ascii="方正小标宋简体" w:hAnsi="方正小标宋简体" w:eastAsia="方正小标宋简体" w:cs="方正小标宋简体"/>
      <w:kern w:val="0"/>
      <w:sz w:val="44"/>
      <w:szCs w:val="44"/>
      <w:lang w:val="en-US" w:eastAsia="zh-CN" w:bidi="ar-SA"/>
    </w:rPr>
  </w:style>
  <w:style w:type="paragraph" w:customStyle="1" w:styleId="16">
    <w:name w:val="公文_正文"/>
    <w:link w:val="59"/>
    <w:qFormat/>
    <w:uiPriority w:val="0"/>
    <w:pPr>
      <w:widowControl w:val="0"/>
      <w:overflowPunct w:val="0"/>
      <w:spacing w:line="600" w:lineRule="exact"/>
      <w:ind w:firstLine="200" w:firstLineChars="200"/>
      <w:jc w:val="both"/>
    </w:pPr>
    <w:rPr>
      <w:rFonts w:hint="eastAsia" w:ascii="仿宋_GB2312" w:hAnsi="仿宋_GB2312" w:eastAsia="仿宋_GB2312" w:cs="仿宋_GB2312"/>
      <w:kern w:val="0"/>
      <w:sz w:val="32"/>
      <w:szCs w:val="32"/>
      <w:lang w:val="en-US" w:eastAsia="zh-CN" w:bidi="ar-SA"/>
    </w:rPr>
  </w:style>
  <w:style w:type="paragraph" w:customStyle="1" w:styleId="17">
    <w:name w:val="公文_落款"/>
    <w:basedOn w:val="1"/>
    <w:link w:val="58"/>
    <w:qFormat/>
    <w:uiPriority w:val="0"/>
    <w:pPr>
      <w:overflowPunct w:val="0"/>
      <w:ind w:left="1600" w:leftChars="1600"/>
      <w:jc w:val="center"/>
    </w:pPr>
    <w:rPr>
      <w:rFonts w:hint="eastAsia"/>
      <w:kern w:val="0"/>
    </w:rPr>
  </w:style>
  <w:style w:type="paragraph" w:customStyle="1" w:styleId="18">
    <w:name w:val="公文_主送人"/>
    <w:basedOn w:val="1"/>
    <w:next w:val="1"/>
    <w:qFormat/>
    <w:uiPriority w:val="0"/>
    <w:pPr>
      <w:overflowPunct w:val="0"/>
    </w:pPr>
    <w:rPr>
      <w:rFonts w:hint="eastAsia"/>
      <w:kern w:val="0"/>
    </w:rPr>
  </w:style>
  <w:style w:type="paragraph" w:customStyle="1" w:styleId="19">
    <w:name w:val="公文_表格名称"/>
    <w:qFormat/>
    <w:uiPriority w:val="0"/>
    <w:pPr>
      <w:overflowPunct w:val="0"/>
      <w:spacing w:before="100" w:beforeLines="100" w:line="360" w:lineRule="auto"/>
      <w:jc w:val="center"/>
    </w:pPr>
    <w:rPr>
      <w:rFonts w:ascii="宋体" w:hAnsi="宋体" w:eastAsia="宋体" w:cs="宋体"/>
      <w:b/>
      <w:kern w:val="0"/>
      <w:sz w:val="28"/>
      <w:szCs w:val="28"/>
      <w:lang w:val="en-US" w:eastAsia="zh-CN" w:bidi="ar-SA"/>
    </w:rPr>
  </w:style>
  <w:style w:type="paragraph" w:customStyle="1" w:styleId="20">
    <w:name w:val="公文_表格内容"/>
    <w:qFormat/>
    <w:uiPriority w:val="0"/>
    <w:pPr>
      <w:overflowPunct w:val="0"/>
      <w:spacing w:line="360" w:lineRule="auto"/>
      <w:jc w:val="center"/>
    </w:pPr>
    <w:rPr>
      <w:rFonts w:hint="eastAsia" w:ascii="宋体" w:hAnsi="宋体" w:eastAsia="宋体" w:cs="仿宋_GB2312"/>
      <w:kern w:val="0"/>
      <w:sz w:val="24"/>
      <w:szCs w:val="24"/>
      <w:lang w:val="en-US" w:eastAsia="zh-CN" w:bidi="ar-SA"/>
    </w:rPr>
  </w:style>
  <w:style w:type="paragraph" w:customStyle="1" w:styleId="21">
    <w:name w:val="公文_表格首注"/>
    <w:next w:val="20"/>
    <w:qFormat/>
    <w:uiPriority w:val="0"/>
    <w:pPr>
      <w:overflowPunct w:val="0"/>
      <w:jc w:val="right"/>
    </w:pPr>
    <w:rPr>
      <w:rFonts w:ascii="宋体" w:hAnsi="宋体" w:eastAsia="宋体" w:cs="宋体"/>
      <w:kern w:val="0"/>
      <w:sz w:val="22"/>
      <w:szCs w:val="22"/>
      <w:lang w:val="en-US" w:eastAsia="zh-CN" w:bidi="ar-SA"/>
    </w:rPr>
  </w:style>
  <w:style w:type="paragraph" w:customStyle="1" w:styleId="22">
    <w:name w:val="公文_1级标题"/>
    <w:next w:val="1"/>
    <w:qFormat/>
    <w:uiPriority w:val="0"/>
    <w:pPr>
      <w:numPr>
        <w:ilvl w:val="0"/>
        <w:numId w:val="1"/>
      </w:numPr>
      <w:overflowPunct w:val="0"/>
      <w:spacing w:line="560" w:lineRule="exact"/>
      <w:ind w:firstLine="200" w:firstLineChars="200"/>
      <w:jc w:val="both"/>
      <w:outlineLvl w:val="0"/>
    </w:pPr>
    <w:rPr>
      <w:rFonts w:hint="eastAsia" w:ascii="方正黑体简体" w:hAnsi="方正黑体简体" w:eastAsia="方正黑体简体" w:cs="方正黑体简体"/>
      <w:kern w:val="0"/>
      <w:sz w:val="32"/>
      <w:szCs w:val="32"/>
      <w:lang w:val="en-US" w:eastAsia="zh-CN" w:bidi="ar-SA"/>
    </w:rPr>
  </w:style>
  <w:style w:type="paragraph" w:customStyle="1" w:styleId="23">
    <w:name w:val="公文_2级标题"/>
    <w:next w:val="1"/>
    <w:qFormat/>
    <w:uiPriority w:val="0"/>
    <w:pPr>
      <w:numPr>
        <w:ilvl w:val="1"/>
        <w:numId w:val="1"/>
      </w:numPr>
      <w:overflowPunct w:val="0"/>
      <w:spacing w:line="560" w:lineRule="exact"/>
      <w:ind w:firstLine="200" w:firstLineChars="200"/>
      <w:jc w:val="both"/>
      <w:outlineLvl w:val="1"/>
    </w:pPr>
    <w:rPr>
      <w:rFonts w:hint="eastAsia" w:ascii="楷体_GB2312" w:hAnsi="楷体_GB2312" w:eastAsia="楷体_GB2312" w:cs="楷体_GB2312"/>
      <w:kern w:val="0"/>
      <w:sz w:val="32"/>
      <w:szCs w:val="32"/>
      <w:lang w:val="en-US" w:eastAsia="zh-CN" w:bidi="ar-SA"/>
    </w:rPr>
  </w:style>
  <w:style w:type="paragraph" w:customStyle="1" w:styleId="24">
    <w:name w:val="公文_3级标题"/>
    <w:qFormat/>
    <w:uiPriority w:val="0"/>
    <w:pPr>
      <w:numPr>
        <w:ilvl w:val="2"/>
        <w:numId w:val="1"/>
      </w:numPr>
      <w:overflowPunct w:val="0"/>
      <w:spacing w:line="560" w:lineRule="exact"/>
      <w:ind w:firstLine="200" w:firstLineChars="200"/>
      <w:outlineLvl w:val="2"/>
    </w:pPr>
    <w:rPr>
      <w:rFonts w:hint="eastAsia" w:ascii="仿宋_GB2312" w:hAnsi="仿宋_GB2312" w:eastAsia="仿宋_GB2312" w:cs="仿宋_GB2312"/>
      <w:kern w:val="2"/>
      <w:sz w:val="32"/>
      <w:szCs w:val="32"/>
      <w:lang w:val="en-US" w:eastAsia="zh-CN" w:bidi="ar-SA"/>
    </w:rPr>
  </w:style>
  <w:style w:type="paragraph" w:customStyle="1" w:styleId="25">
    <w:name w:val="公文_制度条款首段"/>
    <w:basedOn w:val="26"/>
    <w:next w:val="26"/>
    <w:link w:val="27"/>
    <w:qFormat/>
    <w:uiPriority w:val="0"/>
    <w:pPr>
      <w:numPr>
        <w:ilvl w:val="1"/>
        <w:numId w:val="2"/>
      </w:numPr>
      <w:ind w:firstLine="0" w:firstLineChars="0"/>
    </w:pPr>
    <w:rPr>
      <w:rFonts w:hAnsi="仿宋_GB2312"/>
    </w:rPr>
  </w:style>
  <w:style w:type="paragraph" w:customStyle="1" w:styleId="26">
    <w:name w:val="公文_制度条款正文"/>
    <w:link w:val="36"/>
    <w:qFormat/>
    <w:uiPriority w:val="0"/>
    <w:pPr>
      <w:widowControl w:val="0"/>
      <w:spacing w:line="600" w:lineRule="exact"/>
      <w:ind w:firstLine="200" w:firstLineChars="200"/>
      <w:jc w:val="both"/>
    </w:pPr>
    <w:rPr>
      <w:rFonts w:ascii="仿宋_GB2312" w:hAnsi="宋体" w:eastAsia="仿宋_GB2312" w:cs="宋体"/>
      <w:kern w:val="0"/>
      <w:sz w:val="32"/>
      <w:szCs w:val="32"/>
      <w:lang w:val="en-US" w:eastAsia="zh-CN" w:bidi="ar-SA"/>
    </w:rPr>
  </w:style>
  <w:style w:type="character" w:customStyle="1" w:styleId="27">
    <w:name w:val="公文_制度条款首段 字符"/>
    <w:link w:val="25"/>
    <w:qFormat/>
    <w:uiPriority w:val="0"/>
    <w:rPr>
      <w:rFonts w:ascii="仿宋_GB2312" w:hAnsi="仿宋_GB2312" w:eastAsia="仿宋_GB2312" w:cs="宋体"/>
      <w:kern w:val="0"/>
      <w:sz w:val="32"/>
      <w:szCs w:val="32"/>
    </w:rPr>
  </w:style>
  <w:style w:type="paragraph" w:customStyle="1" w:styleId="28">
    <w:name w:val="公文_制度章节标题"/>
    <w:link w:val="29"/>
    <w:qFormat/>
    <w:uiPriority w:val="0"/>
    <w:pPr>
      <w:numPr>
        <w:ilvl w:val="0"/>
        <w:numId w:val="2"/>
      </w:numPr>
      <w:spacing w:before="150" w:beforeLines="150" w:after="50" w:afterLines="50" w:line="600" w:lineRule="exact"/>
      <w:jc w:val="center"/>
      <w:outlineLvl w:val="0"/>
    </w:pPr>
    <w:rPr>
      <w:rFonts w:ascii="方正黑体简体" w:hAnsi="方正黑体简体" w:eastAsia="方正黑体简体" w:cs="方正黑体简体"/>
      <w:kern w:val="0"/>
      <w:sz w:val="32"/>
      <w:szCs w:val="32"/>
      <w:lang w:val="en-US" w:eastAsia="zh-CN" w:bidi="ar-SA"/>
    </w:rPr>
  </w:style>
  <w:style w:type="character" w:customStyle="1" w:styleId="29">
    <w:name w:val="公文_制度章节标题 字符"/>
    <w:link w:val="28"/>
    <w:qFormat/>
    <w:uiPriority w:val="0"/>
    <w:rPr>
      <w:rFonts w:ascii="方正黑体简体" w:hAnsi="方正黑体简体" w:eastAsia="方正黑体简体" w:cs="方正黑体简体"/>
      <w:kern w:val="0"/>
      <w:sz w:val="32"/>
      <w:szCs w:val="32"/>
    </w:rPr>
  </w:style>
  <w:style w:type="paragraph" w:customStyle="1" w:styleId="30">
    <w:name w:val="公文_页码左"/>
    <w:basedOn w:val="31"/>
    <w:link w:val="32"/>
    <w:qFormat/>
    <w:uiPriority w:val="0"/>
    <w:pPr>
      <w:jc w:val="left"/>
    </w:pPr>
  </w:style>
  <w:style w:type="paragraph" w:customStyle="1" w:styleId="31">
    <w:name w:val="公文_页码居中"/>
    <w:link w:val="33"/>
    <w:qFormat/>
    <w:uiPriority w:val="0"/>
    <w:pPr>
      <w:jc w:val="center"/>
    </w:pPr>
    <w:rPr>
      <w:rFonts w:ascii="仿宋_GB2312" w:eastAsia="仿宋_GB2312" w:hAnsiTheme="minorHAnsi" w:cstheme="minorBidi"/>
      <w:kern w:val="2"/>
      <w:sz w:val="28"/>
      <w:szCs w:val="28"/>
      <w:lang w:val="en-US" w:eastAsia="zh-CN" w:bidi="ar-SA"/>
    </w:rPr>
  </w:style>
  <w:style w:type="character" w:customStyle="1" w:styleId="32">
    <w:name w:val="公文_页码左 字符"/>
    <w:basedOn w:val="33"/>
    <w:link w:val="30"/>
    <w:qFormat/>
    <w:uiPriority w:val="0"/>
    <w:rPr>
      <w:rFonts w:ascii="仿宋_GB2312" w:eastAsia="仿宋_GB2312"/>
      <w:sz w:val="28"/>
      <w:szCs w:val="28"/>
    </w:rPr>
  </w:style>
  <w:style w:type="character" w:customStyle="1" w:styleId="33">
    <w:name w:val="公文_页码居中 字符"/>
    <w:basedOn w:val="14"/>
    <w:link w:val="31"/>
    <w:qFormat/>
    <w:uiPriority w:val="0"/>
    <w:rPr>
      <w:rFonts w:ascii="仿宋_GB2312" w:eastAsia="仿宋_GB2312"/>
      <w:sz w:val="28"/>
      <w:szCs w:val="28"/>
    </w:rPr>
  </w:style>
  <w:style w:type="paragraph" w:customStyle="1" w:styleId="34">
    <w:name w:val="公文_页码右"/>
    <w:basedOn w:val="31"/>
    <w:link w:val="35"/>
    <w:qFormat/>
    <w:uiPriority w:val="0"/>
    <w:pPr>
      <w:jc w:val="right"/>
    </w:pPr>
  </w:style>
  <w:style w:type="character" w:customStyle="1" w:styleId="35">
    <w:name w:val="公文_页码右 字符"/>
    <w:basedOn w:val="33"/>
    <w:link w:val="34"/>
    <w:qFormat/>
    <w:uiPriority w:val="0"/>
    <w:rPr>
      <w:rFonts w:ascii="仿宋_GB2312" w:eastAsia="仿宋_GB2312"/>
      <w:sz w:val="28"/>
      <w:szCs w:val="28"/>
    </w:rPr>
  </w:style>
  <w:style w:type="character" w:customStyle="1" w:styleId="36">
    <w:name w:val="公文_制度条款正文 字符"/>
    <w:link w:val="26"/>
    <w:qFormat/>
    <w:uiPriority w:val="0"/>
    <w:rPr>
      <w:rFonts w:ascii="仿宋_GB2312" w:hAnsi="宋体" w:eastAsia="仿宋_GB2312" w:cs="宋体"/>
      <w:kern w:val="0"/>
      <w:sz w:val="32"/>
      <w:szCs w:val="32"/>
    </w:rPr>
  </w:style>
  <w:style w:type="paragraph" w:customStyle="1" w:styleId="37">
    <w:name w:val="公文_红头"/>
    <w:link w:val="39"/>
    <w:qFormat/>
    <w:uiPriority w:val="0"/>
    <w:pPr>
      <w:jc w:val="center"/>
    </w:pPr>
    <w:rPr>
      <w:rFonts w:ascii="方正小标宋简体" w:hAnsi="微软雅黑" w:eastAsia="方正小标宋简体" w:cs="Times New Roman"/>
      <w:b/>
      <w:bCs/>
      <w:color w:val="FF0000"/>
      <w:w w:val="46"/>
      <w:kern w:val="2"/>
      <w:sz w:val="104"/>
      <w:szCs w:val="104"/>
      <w:shd w:val="clear" w:color="auto" w:fill="FFFFFF"/>
      <w:lang w:val="en-US" w:eastAsia="zh-CN" w:bidi="ar-SA"/>
    </w:rPr>
  </w:style>
  <w:style w:type="character" w:customStyle="1" w:styleId="38">
    <w:name w:val="标题 1 字符"/>
    <w:basedOn w:val="14"/>
    <w:link w:val="2"/>
    <w:qFormat/>
    <w:uiPriority w:val="9"/>
    <w:rPr>
      <w:rFonts w:ascii="方正黑体简体" w:hAnsi="方正黑体简体" w:eastAsia="方正黑体简体" w:cs="方正黑体简体"/>
      <w:kern w:val="44"/>
      <w:sz w:val="32"/>
      <w:szCs w:val="44"/>
    </w:rPr>
  </w:style>
  <w:style w:type="character" w:customStyle="1" w:styleId="39">
    <w:name w:val="公文_红头 字符"/>
    <w:basedOn w:val="14"/>
    <w:link w:val="37"/>
    <w:qFormat/>
    <w:uiPriority w:val="0"/>
    <w:rPr>
      <w:rFonts w:ascii="方正小标宋简体" w:hAnsi="微软雅黑" w:eastAsia="方正小标宋简体" w:cs="Times New Roman"/>
      <w:b/>
      <w:bCs/>
      <w:color w:val="FF0000"/>
      <w:w w:val="46"/>
      <w:sz w:val="104"/>
      <w:szCs w:val="104"/>
    </w:rPr>
  </w:style>
  <w:style w:type="character" w:customStyle="1" w:styleId="40">
    <w:name w:val="标题 2 字符"/>
    <w:basedOn w:val="1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41">
    <w:name w:val="标题 3 字符"/>
    <w:basedOn w:val="1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42">
    <w:name w:val="标题 4 字符"/>
    <w:basedOn w:val="14"/>
    <w:link w:val="5"/>
    <w:semiHidden/>
    <w:qFormat/>
    <w:uiPriority w:val="9"/>
    <w:rPr>
      <w:rFonts w:cstheme="majorBidi"/>
      <w:color w:val="104862" w:themeColor="accent1" w:themeShade="BF"/>
      <w:sz w:val="28"/>
      <w:szCs w:val="28"/>
    </w:rPr>
  </w:style>
  <w:style w:type="character" w:customStyle="1" w:styleId="43">
    <w:name w:val="标题 5 字符"/>
    <w:basedOn w:val="14"/>
    <w:link w:val="6"/>
    <w:semiHidden/>
    <w:qFormat/>
    <w:uiPriority w:val="9"/>
    <w:rPr>
      <w:rFonts w:cstheme="majorBidi"/>
      <w:color w:val="104862" w:themeColor="accent1" w:themeShade="BF"/>
      <w:sz w:val="24"/>
      <w:szCs w:val="24"/>
    </w:rPr>
  </w:style>
  <w:style w:type="character" w:customStyle="1" w:styleId="44">
    <w:name w:val="标题 6 字符"/>
    <w:basedOn w:val="14"/>
    <w:link w:val="7"/>
    <w:semiHidden/>
    <w:qFormat/>
    <w:uiPriority w:val="9"/>
    <w:rPr>
      <w:rFonts w:cstheme="majorBidi"/>
      <w:b/>
      <w:bCs/>
      <w:color w:val="104862" w:themeColor="accent1" w:themeShade="BF"/>
      <w:sz w:val="32"/>
      <w:szCs w:val="32"/>
    </w:rPr>
  </w:style>
  <w:style w:type="character" w:customStyle="1" w:styleId="45">
    <w:name w:val="标题 7 字符"/>
    <w:basedOn w:val="14"/>
    <w:link w:val="8"/>
    <w:semiHidden/>
    <w:qFormat/>
    <w:uiPriority w:val="9"/>
    <w:rPr>
      <w:rFonts w:cstheme="majorBidi"/>
      <w:b/>
      <w:bCs/>
      <w:color w:val="595959" w:themeColor="text1" w:themeTint="A6"/>
      <w:sz w:val="32"/>
      <w:szCs w:val="32"/>
      <w14:textFill>
        <w14:solidFill>
          <w14:schemeClr w14:val="tx1">
            <w14:lumMod w14:val="65000"/>
            <w14:lumOff w14:val="35000"/>
          </w14:schemeClr>
        </w14:solidFill>
      </w14:textFill>
    </w:rPr>
  </w:style>
  <w:style w:type="character" w:customStyle="1" w:styleId="46">
    <w:name w:val="标题 8 字符"/>
    <w:basedOn w:val="14"/>
    <w:link w:val="9"/>
    <w:semiHidden/>
    <w:qFormat/>
    <w:uiPriority w:val="9"/>
    <w:rPr>
      <w:rFonts w:cstheme="majorBidi"/>
      <w:color w:val="595959" w:themeColor="text1" w:themeTint="A6"/>
      <w:sz w:val="32"/>
      <w:szCs w:val="32"/>
      <w14:textFill>
        <w14:solidFill>
          <w14:schemeClr w14:val="tx1">
            <w14:lumMod w14:val="65000"/>
            <w14:lumOff w14:val="35000"/>
          </w14:schemeClr>
        </w14:solidFill>
      </w14:textFill>
    </w:rPr>
  </w:style>
  <w:style w:type="character" w:customStyle="1" w:styleId="47">
    <w:name w:val="标题 9 字符"/>
    <w:basedOn w:val="14"/>
    <w:link w:val="10"/>
    <w:semiHidden/>
    <w:qFormat/>
    <w:uiPriority w:val="9"/>
    <w:rPr>
      <w:rFonts w:eastAsiaTheme="majorEastAsia" w:cstheme="majorBidi"/>
      <w:color w:val="595959" w:themeColor="text1" w:themeTint="A6"/>
      <w:sz w:val="32"/>
      <w:szCs w:val="32"/>
      <w14:textFill>
        <w14:solidFill>
          <w14:schemeClr w14:val="tx1">
            <w14:lumMod w14:val="65000"/>
            <w14:lumOff w14:val="35000"/>
          </w14:schemeClr>
        </w14:solidFill>
      </w14:textFill>
    </w:rPr>
  </w:style>
  <w:style w:type="character" w:customStyle="1" w:styleId="48">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49">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50">
    <w:name w:val="Quote"/>
    <w:basedOn w:val="1"/>
    <w:next w:val="1"/>
    <w:link w:val="5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51">
    <w:name w:val="引用 字符"/>
    <w:basedOn w:val="14"/>
    <w:link w:val="50"/>
    <w:qFormat/>
    <w:uiPriority w:val="29"/>
    <w:rPr>
      <w:rFonts w:ascii="仿宋_GB2312" w:hAnsi="仿宋_GB2312" w:eastAsia="仿宋_GB2312" w:cs="仿宋_GB2312"/>
      <w:i/>
      <w:iCs/>
      <w:color w:val="404040" w:themeColor="text1" w:themeTint="BF"/>
      <w:sz w:val="32"/>
      <w:szCs w:val="32"/>
      <w14:textFill>
        <w14:solidFill>
          <w14:schemeClr w14:val="tx1">
            <w14:lumMod w14:val="75000"/>
            <w14:lumOff w14:val="25000"/>
          </w14:schemeClr>
        </w14:solidFill>
      </w14:textFill>
    </w:rPr>
  </w:style>
  <w:style w:type="paragraph" w:styleId="52">
    <w:name w:val="List Paragraph"/>
    <w:basedOn w:val="1"/>
    <w:qFormat/>
    <w:uiPriority w:val="34"/>
    <w:pPr>
      <w:ind w:left="720"/>
      <w:contextualSpacing/>
    </w:pPr>
  </w:style>
  <w:style w:type="character" w:customStyle="1" w:styleId="53">
    <w:name w:val="Intense Emphasis"/>
    <w:basedOn w:val="14"/>
    <w:qFormat/>
    <w:uiPriority w:val="21"/>
    <w:rPr>
      <w:i/>
      <w:iCs/>
      <w:color w:val="104862" w:themeColor="accent1" w:themeShade="BF"/>
    </w:rPr>
  </w:style>
  <w:style w:type="paragraph" w:styleId="54">
    <w:name w:val="Intense Quote"/>
    <w:basedOn w:val="1"/>
    <w:next w:val="1"/>
    <w:link w:val="5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55">
    <w:name w:val="明显引用 字符"/>
    <w:basedOn w:val="14"/>
    <w:link w:val="54"/>
    <w:qFormat/>
    <w:uiPriority w:val="30"/>
    <w:rPr>
      <w:rFonts w:ascii="仿宋_GB2312" w:hAnsi="仿宋_GB2312" w:eastAsia="仿宋_GB2312" w:cs="仿宋_GB2312"/>
      <w:i/>
      <w:iCs/>
      <w:color w:val="104862" w:themeColor="accent1" w:themeShade="BF"/>
      <w:sz w:val="32"/>
      <w:szCs w:val="32"/>
    </w:rPr>
  </w:style>
  <w:style w:type="character" w:customStyle="1" w:styleId="56">
    <w:name w:val="Intense Reference"/>
    <w:basedOn w:val="14"/>
    <w:qFormat/>
    <w:uiPriority w:val="32"/>
    <w:rPr>
      <w:b/>
      <w:bCs/>
      <w:smallCaps/>
      <w:color w:val="104862" w:themeColor="accent1" w:themeShade="BF"/>
      <w:spacing w:val="5"/>
    </w:rPr>
  </w:style>
  <w:style w:type="paragraph" w:customStyle="1" w:styleId="57">
    <w:name w:val="Normal"/>
    <w:basedOn w:val="1"/>
    <w:qFormat/>
    <w:uiPriority w:val="0"/>
    <w:pPr>
      <w:widowControl/>
    </w:pPr>
  </w:style>
  <w:style w:type="character" w:customStyle="1" w:styleId="58">
    <w:name w:val="公文_落款 Char"/>
    <w:link w:val="17"/>
    <w:qFormat/>
    <w:uiPriority w:val="0"/>
    <w:rPr>
      <w:rFonts w:hint="eastAsia"/>
      <w:kern w:val="0"/>
    </w:rPr>
  </w:style>
  <w:style w:type="character" w:customStyle="1" w:styleId="59">
    <w:name w:val="公文_正文 Char"/>
    <w:link w:val="16"/>
    <w:qFormat/>
    <w:uiPriority w:val="0"/>
    <w:rPr>
      <w:rFonts w:hint="eastAsia" w:ascii="仿宋_GB2312" w:hAnsi="仿宋_GB2312" w:eastAsia="仿宋_GB2312" w:cs="仿宋_GB2312"/>
      <w:kern w:val="0"/>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5317</Words>
  <Characters>5584</Characters>
  <Lines>24</Lines>
  <Paragraphs>6</Paragraphs>
  <TotalTime>11</TotalTime>
  <ScaleCrop>false</ScaleCrop>
  <LinksUpToDate>false</LinksUpToDate>
  <CharactersWithSpaces>5586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2024-05-31T03:21:00Z</dcterms:created>
  <dc:creator>H W</dc:creator>
  <cp:lastModifiedBy>吴昊</cp:lastModifiedBy>
  <cp:lastPrinted>2024-07-31T05:05:00Z</cp:lastPrinted>
  <dcterms:modified xsi:type="dcterms:W3CDTF">2024-09-19T11:54:10Z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3AA0F9DD4B904860A140283F4D78764A_13</vt:lpwstr>
  </property>
</Properties>
</file>