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D2EB37">
      <w:pPr>
        <w:spacing w:line="560" w:lineRule="exact"/>
        <w:rPr>
          <w:rFonts w:ascii="宋体" w:hAnsi="宋体"/>
          <w:b/>
          <w:sz w:val="36"/>
          <w:szCs w:val="36"/>
        </w:rPr>
      </w:pPr>
    </w:p>
    <w:p w14:paraId="29CFAF36">
      <w:pPr>
        <w:jc w:val="center"/>
        <w:rPr>
          <w:rFonts w:ascii="宋体" w:hAnsi="宋体"/>
          <w:b/>
          <w:sz w:val="36"/>
          <w:szCs w:val="36"/>
        </w:rPr>
      </w:pPr>
      <w:r>
        <w:rPr>
          <w:rFonts w:hint="eastAsia" w:ascii="宋体" w:hAnsi="宋体"/>
          <w:b/>
          <w:sz w:val="36"/>
          <w:szCs w:val="36"/>
        </w:rPr>
        <w:t>财政支出项目绩效自评报告</w:t>
      </w:r>
    </w:p>
    <w:p w14:paraId="6DFD76AE">
      <w:pPr>
        <w:rPr>
          <w:rFonts w:ascii="仿宋_GB2312" w:eastAsia="仿宋_GB2312"/>
          <w:sz w:val="44"/>
          <w:szCs w:val="44"/>
        </w:rPr>
      </w:pPr>
    </w:p>
    <w:p w14:paraId="743D4B50">
      <w:pPr>
        <w:spacing w:line="560" w:lineRule="exact"/>
        <w:ind w:firstLine="640" w:firstLineChars="200"/>
        <w:rPr>
          <w:rFonts w:ascii="黑体" w:eastAsia="黑体"/>
          <w:sz w:val="32"/>
          <w:szCs w:val="32"/>
        </w:rPr>
      </w:pPr>
      <w:r>
        <w:rPr>
          <w:rFonts w:hint="eastAsia" w:ascii="黑体" w:eastAsia="黑体"/>
          <w:sz w:val="32"/>
          <w:szCs w:val="32"/>
        </w:rPr>
        <w:t>一、项目基本情况及自评结论</w:t>
      </w:r>
    </w:p>
    <w:p w14:paraId="2D358C3A">
      <w:pPr>
        <w:spacing w:line="560" w:lineRule="exact"/>
        <w:ind w:firstLine="640" w:firstLineChars="200"/>
        <w:rPr>
          <w:rFonts w:ascii="仿宋_GB2312" w:eastAsia="仿宋_GB2312"/>
          <w:sz w:val="32"/>
          <w:szCs w:val="32"/>
        </w:rPr>
      </w:pPr>
      <w:r>
        <w:rPr>
          <w:rFonts w:hint="eastAsia" w:ascii="仿宋_GB2312" w:eastAsia="仿宋_GB2312"/>
          <w:sz w:val="32"/>
          <w:szCs w:val="32"/>
        </w:rPr>
        <w:t>（一）项目用款单位简要情况</w:t>
      </w:r>
    </w:p>
    <w:p w14:paraId="0812ED61">
      <w:pPr>
        <w:pStyle w:val="8"/>
        <w:ind w:firstLine="640"/>
      </w:pPr>
      <w:r>
        <w:rPr>
          <w:rFonts w:hint="eastAsia"/>
        </w:rPr>
        <w:t>我单位乳源瑶族自治县政务服务数据管理局，于2019年3月成立，是县政府工作部门。单位关于本项目的主要职责：</w:t>
      </w:r>
      <w:r>
        <w:rPr>
          <w:rFonts w:hint="eastAsia"/>
          <w:b/>
          <w:bCs/>
          <w:lang w:val="en-US" w:eastAsia="zh-CN"/>
        </w:rPr>
        <w:t>一是</w:t>
      </w:r>
      <w:r>
        <w:rPr>
          <w:rFonts w:hint="eastAsia"/>
        </w:rPr>
        <w:t>统筹协调县直各部门业务应用系统建设，统筹管理政务云平台和电子政务外网，指导各镇和各部门网上政务应用和建设；</w:t>
      </w:r>
      <w:r>
        <w:rPr>
          <w:rFonts w:hint="eastAsia"/>
          <w:b/>
          <w:bCs/>
          <w:lang w:val="en-US" w:eastAsia="zh-CN"/>
        </w:rPr>
        <w:t>二是</w:t>
      </w:r>
      <w:r>
        <w:rPr>
          <w:rFonts w:hint="eastAsia"/>
        </w:rPr>
        <w:t>统筹全县电子政务基础设施、信息系统、数据资源等安全保障工作，负责“数字政府”平台安全技术和运营体系建设，监督管理全县信息系统和数据库安全</w:t>
      </w:r>
      <w:r>
        <w:rPr>
          <w:rFonts w:hint="eastAsia"/>
          <w:lang w:eastAsia="zh-CN"/>
        </w:rPr>
        <w:t>；</w:t>
      </w:r>
      <w:r>
        <w:rPr>
          <w:rFonts w:hint="eastAsia"/>
          <w:b/>
          <w:bCs/>
          <w:lang w:val="en-US" w:eastAsia="zh-CN"/>
        </w:rPr>
        <w:t>三是</w:t>
      </w:r>
      <w:r>
        <w:rPr>
          <w:rFonts w:hint="eastAsia"/>
          <w:lang w:val="en-US" w:eastAsia="zh-CN"/>
        </w:rPr>
        <w:t>下属单位乳源瑶族自治县信息中心负责建设、维护和管理信息中心平台和党政机关电子政务系统网络，并提供技术指导和服务</w:t>
      </w:r>
      <w:r>
        <w:rPr>
          <w:rFonts w:hint="eastAsia"/>
        </w:rPr>
        <w:t>。</w:t>
      </w:r>
    </w:p>
    <w:p w14:paraId="55473114">
      <w:pPr>
        <w:spacing w:line="560" w:lineRule="exact"/>
        <w:ind w:firstLine="640" w:firstLineChars="200"/>
        <w:rPr>
          <w:rFonts w:ascii="仿宋_GB2312" w:eastAsia="仿宋_GB2312"/>
          <w:sz w:val="32"/>
          <w:szCs w:val="32"/>
        </w:rPr>
      </w:pPr>
      <w:r>
        <w:rPr>
          <w:rFonts w:hint="eastAsia" w:ascii="仿宋_GB2312" w:eastAsia="仿宋_GB2312"/>
          <w:sz w:val="32"/>
          <w:szCs w:val="32"/>
        </w:rPr>
        <w:t>（二）项目实施主要内容及实施程序</w:t>
      </w:r>
    </w:p>
    <w:p w14:paraId="5B273ECC">
      <w:pPr>
        <w:spacing w:line="560" w:lineRule="exact"/>
        <w:ind w:firstLine="640" w:firstLineChars="200"/>
        <w:rPr>
          <w:rFonts w:ascii="仿宋_GB2312" w:eastAsia="仿宋_GB2312"/>
          <w:sz w:val="32"/>
          <w:szCs w:val="32"/>
        </w:rPr>
      </w:pPr>
      <w:r>
        <w:rPr>
          <w:rFonts w:hint="eastAsia" w:ascii="仿宋_GB2312" w:eastAsia="仿宋_GB2312"/>
          <w:sz w:val="32"/>
          <w:szCs w:val="32"/>
        </w:rPr>
        <w:t>1、实施主要内容</w:t>
      </w:r>
    </w:p>
    <w:p w14:paraId="19941563">
      <w:pPr>
        <w:pStyle w:val="8"/>
        <w:ind w:firstLine="640"/>
      </w:pPr>
      <w:r>
        <w:rPr>
          <w:rFonts w:hint="eastAsia"/>
        </w:rPr>
        <w:t>为2023年全县所有党政机关、事业单位和部门提供光纤网络上网、办公应用、信息公开、公共服务、信息安全防护等服务。</w:t>
      </w:r>
    </w:p>
    <w:p w14:paraId="71411CB1">
      <w:pPr>
        <w:spacing w:line="560" w:lineRule="exact"/>
        <w:ind w:firstLine="640" w:firstLineChars="200"/>
        <w:rPr>
          <w:rFonts w:ascii="仿宋_GB2312" w:eastAsia="仿宋_GB2312"/>
          <w:sz w:val="32"/>
          <w:szCs w:val="32"/>
        </w:rPr>
      </w:pPr>
      <w:r>
        <w:rPr>
          <w:rFonts w:hint="eastAsia" w:ascii="仿宋_GB2312" w:eastAsia="仿宋_GB2312"/>
          <w:sz w:val="32"/>
          <w:szCs w:val="32"/>
        </w:rPr>
        <w:t>2、实施程序</w:t>
      </w:r>
    </w:p>
    <w:p w14:paraId="2A87475F">
      <w:pPr>
        <w:pStyle w:val="8"/>
        <w:ind w:firstLine="640"/>
      </w:pPr>
      <w:r>
        <w:rPr>
          <w:rFonts w:hint="eastAsia"/>
        </w:rPr>
        <w:t>严格执行预算法、采购法及有关法规制度。</w:t>
      </w:r>
      <w:r>
        <w:rPr>
          <w:rFonts w:hint="eastAsia"/>
          <w:b/>
          <w:bCs/>
        </w:rPr>
        <w:t>一是</w:t>
      </w:r>
      <w:r>
        <w:rPr>
          <w:rFonts w:hint="eastAsia"/>
        </w:rPr>
        <w:t>预算项目按照预算管理办法、三重一大决策制度进行申报，并获得县级核准；</w:t>
      </w:r>
      <w:r>
        <w:rPr>
          <w:rFonts w:hint="eastAsia"/>
          <w:b/>
          <w:bCs/>
        </w:rPr>
        <w:t>二是</w:t>
      </w:r>
      <w:r>
        <w:rPr>
          <w:rFonts w:hint="eastAsia"/>
        </w:rPr>
        <w:t>预算项目的支出计划按照部门三重一大决策、财务管理制度等相关制度进行申报；</w:t>
      </w:r>
      <w:r>
        <w:rPr>
          <w:rFonts w:hint="eastAsia"/>
          <w:b/>
          <w:bCs/>
        </w:rPr>
        <w:t>三是</w:t>
      </w:r>
      <w:r>
        <w:rPr>
          <w:rFonts w:hint="eastAsia"/>
        </w:rPr>
        <w:t>预算项目资金由财政国库管理，所有支出计划实行财政集中支付的审批流程，保证了项目的有效监管。</w:t>
      </w:r>
    </w:p>
    <w:p w14:paraId="48B79595">
      <w:pPr>
        <w:spacing w:line="560" w:lineRule="exact"/>
        <w:ind w:firstLine="640" w:firstLineChars="200"/>
        <w:rPr>
          <w:rFonts w:ascii="仿宋_GB2312" w:eastAsia="仿宋_GB2312"/>
          <w:sz w:val="32"/>
          <w:szCs w:val="32"/>
        </w:rPr>
      </w:pPr>
      <w:r>
        <w:rPr>
          <w:rFonts w:hint="eastAsia" w:ascii="仿宋_GB2312" w:eastAsia="仿宋_GB2312"/>
          <w:sz w:val="32"/>
          <w:szCs w:val="32"/>
        </w:rPr>
        <w:t>（三）综述项目自评等级和分数，并对照佐证材料逐一分析</w:t>
      </w:r>
    </w:p>
    <w:p w14:paraId="7816CC96">
      <w:pPr>
        <w:pStyle w:val="8"/>
        <w:ind w:firstLine="640"/>
      </w:pPr>
      <w:r>
        <w:rPr>
          <w:rFonts w:hint="eastAsia"/>
        </w:rPr>
        <w:t>我单位对整个项目的实施进行了整体评价，自评得分100分，自评等级为优。</w:t>
      </w:r>
    </w:p>
    <w:p w14:paraId="723A9EBC">
      <w:pPr>
        <w:pStyle w:val="8"/>
        <w:bidi w:val="0"/>
        <w:rPr>
          <w:rFonts w:hint="eastAsia"/>
        </w:rPr>
      </w:pPr>
      <w:r>
        <w:rPr>
          <w:rFonts w:hint="eastAsia"/>
        </w:rPr>
        <w:t>1.项目立项情况</w:t>
      </w:r>
    </w:p>
    <w:p w14:paraId="3F5A95C5">
      <w:pPr>
        <w:pStyle w:val="8"/>
        <w:bidi w:val="0"/>
        <w:rPr>
          <w:rFonts w:hint="eastAsia"/>
        </w:rPr>
      </w:pPr>
      <w:r>
        <w:rPr>
          <w:rFonts w:hint="eastAsia"/>
        </w:rPr>
        <w:t>（1）论证决策</w:t>
      </w:r>
    </w:p>
    <w:p w14:paraId="0492E383">
      <w:pPr>
        <w:pStyle w:val="8"/>
        <w:bidi w:val="0"/>
        <w:rPr>
          <w:rFonts w:hint="eastAsia"/>
        </w:rPr>
      </w:pPr>
      <w:r>
        <w:rPr>
          <w:rFonts w:hint="eastAsia"/>
        </w:rPr>
        <w:t>立项论证具有充分性，目标明确、合理；项目符合经济社会发展规划和部门年度工作计划；根据需要制定的中长期实施规划；项目设立时经过科学决策程序；资金投向和结构合理，符合相关管理办法；符合公共财政扶持方向及资金设立目标。</w:t>
      </w:r>
    </w:p>
    <w:p w14:paraId="24F56ADB">
      <w:pPr>
        <w:pStyle w:val="8"/>
        <w:bidi w:val="0"/>
        <w:rPr>
          <w:rFonts w:hint="eastAsia"/>
        </w:rPr>
      </w:pPr>
      <w:r>
        <w:rPr>
          <w:rFonts w:hint="eastAsia"/>
        </w:rPr>
        <w:t>（2）目标设置</w:t>
      </w:r>
    </w:p>
    <w:p w14:paraId="599599B1">
      <w:pPr>
        <w:pStyle w:val="8"/>
        <w:bidi w:val="0"/>
        <w:rPr>
          <w:rFonts w:hint="eastAsia"/>
        </w:rPr>
      </w:pPr>
      <w:r>
        <w:rPr>
          <w:rFonts w:hint="eastAsia"/>
        </w:rPr>
        <w:t>目标设置包含公共产品内容、数量、质量、成本内容，具体化到指标及目标值。资金绩效目标设置明确、合理、细化、量化，资金绩效目标与项目属性特点、支出内容相关，体现了决策意图，同时合乎客观实际。</w:t>
      </w:r>
    </w:p>
    <w:p w14:paraId="420C6376">
      <w:pPr>
        <w:pStyle w:val="8"/>
        <w:bidi w:val="0"/>
        <w:rPr>
          <w:rFonts w:hint="eastAsia"/>
        </w:rPr>
      </w:pPr>
      <w:r>
        <w:rPr>
          <w:rFonts w:hint="eastAsia"/>
        </w:rPr>
        <w:t>（3）保障措施</w:t>
      </w:r>
    </w:p>
    <w:p w14:paraId="0273EA0C">
      <w:pPr>
        <w:pStyle w:val="8"/>
        <w:bidi w:val="0"/>
        <w:rPr>
          <w:rFonts w:hint="eastAsia"/>
        </w:rPr>
      </w:pPr>
      <w:r>
        <w:rPr>
          <w:rFonts w:hint="eastAsia"/>
        </w:rPr>
        <w:t>依据项目基础信息和单位内部控制有关制度，对项目的实施内容、实施条件进行安排，并制定了项目实施计划。</w:t>
      </w:r>
    </w:p>
    <w:p w14:paraId="7AD33C44">
      <w:pPr>
        <w:pStyle w:val="8"/>
        <w:bidi w:val="0"/>
        <w:rPr>
          <w:rFonts w:hint="eastAsia"/>
        </w:rPr>
      </w:pPr>
      <w:r>
        <w:rPr>
          <w:rFonts w:hint="eastAsia"/>
        </w:rPr>
        <w:t>2.资金落实与管理情况</w:t>
      </w:r>
    </w:p>
    <w:p w14:paraId="0F129DEA">
      <w:pPr>
        <w:pStyle w:val="8"/>
        <w:bidi w:val="0"/>
        <w:rPr>
          <w:rFonts w:hint="eastAsia"/>
        </w:rPr>
      </w:pPr>
      <w:r>
        <w:rPr>
          <w:rFonts w:hint="eastAsia"/>
        </w:rPr>
        <w:t>（1）资金到位和分配情况</w:t>
      </w:r>
    </w:p>
    <w:p w14:paraId="7F133088">
      <w:pPr>
        <w:pStyle w:val="8"/>
        <w:bidi w:val="0"/>
        <w:rPr>
          <w:rFonts w:hint="eastAsia"/>
        </w:rPr>
      </w:pPr>
      <w:r>
        <w:rPr>
          <w:rFonts w:hint="eastAsia"/>
        </w:rPr>
        <w:t>本预算项目资金通过审批后，县级财政部门及时根据资金批复新增资金指标，资金到位及时,到位率为100%。资金到位后，单位制定了资金支付计划。</w:t>
      </w:r>
    </w:p>
    <w:p w14:paraId="618E7C77">
      <w:pPr>
        <w:pStyle w:val="8"/>
        <w:bidi w:val="0"/>
        <w:rPr>
          <w:rFonts w:hint="eastAsia"/>
        </w:rPr>
      </w:pPr>
      <w:r>
        <w:rPr>
          <w:rFonts w:hint="eastAsia"/>
        </w:rPr>
        <w:t>（2）资金支付情况</w:t>
      </w:r>
    </w:p>
    <w:p w14:paraId="7191BC2F">
      <w:pPr>
        <w:pStyle w:val="8"/>
        <w:bidi w:val="0"/>
        <w:rPr>
          <w:rFonts w:hint="eastAsia"/>
        </w:rPr>
      </w:pPr>
      <w:r>
        <w:rPr>
          <w:rFonts w:hint="eastAsia"/>
        </w:rPr>
        <w:t>资金支出规范，包括资金管理、费用支出等制度都能够严格执行，会计核算规范，支出合规，未出现有虚列项目支出的情况，未存在有截留、挤占、挪用项目资金的情况，未存在有超标准开支情况。</w:t>
      </w:r>
    </w:p>
    <w:p w14:paraId="091A0084">
      <w:pPr>
        <w:pStyle w:val="8"/>
        <w:bidi w:val="0"/>
        <w:rPr>
          <w:rFonts w:hint="eastAsia"/>
        </w:rPr>
      </w:pPr>
      <w:r>
        <w:rPr>
          <w:rFonts w:hint="eastAsia"/>
        </w:rPr>
        <w:t>截至2023年</w:t>
      </w:r>
      <w:r>
        <w:rPr>
          <w:rFonts w:hint="eastAsia"/>
          <w:lang w:val="en-US" w:eastAsia="zh-CN"/>
        </w:rPr>
        <w:t>3</w:t>
      </w:r>
      <w:r>
        <w:rPr>
          <w:rFonts w:hint="eastAsia"/>
        </w:rPr>
        <w:t>月，该项资金已经全部使用完毕，资金支出率为100%。</w:t>
      </w:r>
    </w:p>
    <w:p w14:paraId="30F7BA0A">
      <w:pPr>
        <w:pStyle w:val="8"/>
        <w:bidi w:val="0"/>
        <w:rPr>
          <w:rFonts w:hint="eastAsia"/>
        </w:rPr>
      </w:pPr>
      <w:r>
        <w:rPr>
          <w:rFonts w:hint="eastAsia"/>
        </w:rPr>
        <w:t>3.事项管理情况</w:t>
      </w:r>
    </w:p>
    <w:p w14:paraId="41E1E1AE">
      <w:pPr>
        <w:pStyle w:val="8"/>
        <w:bidi w:val="0"/>
        <w:rPr>
          <w:rFonts w:hint="eastAsia"/>
        </w:rPr>
      </w:pPr>
      <w:r>
        <w:rPr>
          <w:rFonts w:hint="eastAsia"/>
        </w:rPr>
        <w:t>项目实施过程规范，包括项目符合申报条件，申报、批复程序符合相关管理办法。项目预算、结算、验收都履行了相应手续。同时，县财政相关业务股室在项目库审核、预算下达、支付计划审批等环节进行了检查、监控、督促等管理。</w:t>
      </w:r>
    </w:p>
    <w:p w14:paraId="69B67021">
      <w:pPr>
        <w:pStyle w:val="8"/>
        <w:bidi w:val="0"/>
        <w:rPr>
          <w:rFonts w:hint="eastAsia"/>
        </w:rPr>
      </w:pPr>
      <w:r>
        <w:rPr>
          <w:rFonts w:hint="eastAsia"/>
        </w:rPr>
        <w:t>4.项目经济性情况</w:t>
      </w:r>
    </w:p>
    <w:p w14:paraId="10526D17">
      <w:pPr>
        <w:pStyle w:val="8"/>
        <w:bidi w:val="0"/>
      </w:pPr>
      <w:r>
        <w:rPr>
          <w:rFonts w:hint="eastAsia"/>
        </w:rPr>
        <w:t>项目预算和成本控制较好，在实施项目时能够有效的控制成本，项目按照预算完成的前提下，与同类项目或市场价格比较，项目实施的成本处于合理范围，实际支出未超过预算计划。</w:t>
      </w:r>
    </w:p>
    <w:p w14:paraId="4A10C1E5">
      <w:pPr>
        <w:spacing w:line="560" w:lineRule="exact"/>
        <w:ind w:firstLine="640" w:firstLineChars="200"/>
        <w:rPr>
          <w:rFonts w:ascii="黑体" w:eastAsia="黑体"/>
          <w:sz w:val="32"/>
          <w:szCs w:val="32"/>
        </w:rPr>
      </w:pPr>
      <w:r>
        <w:rPr>
          <w:rFonts w:hint="eastAsia" w:ascii="黑体" w:eastAsia="黑体"/>
          <w:sz w:val="32"/>
          <w:szCs w:val="32"/>
        </w:rPr>
        <w:t>二、绩效表现</w:t>
      </w:r>
    </w:p>
    <w:p w14:paraId="028BDC84">
      <w:pPr>
        <w:spacing w:line="560" w:lineRule="exact"/>
        <w:ind w:firstLine="640" w:firstLineChars="200"/>
        <w:rPr>
          <w:rFonts w:ascii="仿宋_GB2312" w:eastAsia="仿宋_GB2312"/>
          <w:sz w:val="32"/>
          <w:szCs w:val="32"/>
        </w:rPr>
      </w:pPr>
      <w:r>
        <w:rPr>
          <w:rFonts w:hint="eastAsia" w:ascii="仿宋_GB2312" w:eastAsia="仿宋_GB2312"/>
          <w:sz w:val="32"/>
          <w:szCs w:val="32"/>
        </w:rPr>
        <w:t>（一）资金使用绩效</w:t>
      </w:r>
    </w:p>
    <w:p w14:paraId="02705F24">
      <w:pPr>
        <w:spacing w:line="560" w:lineRule="exact"/>
        <w:ind w:firstLine="640" w:firstLineChars="200"/>
        <w:rPr>
          <w:rFonts w:ascii="仿宋_GB2312" w:hAnsi="仿宋_GB2312" w:eastAsia="仿宋_GB2312"/>
          <w:sz w:val="32"/>
          <w:szCs w:val="32"/>
        </w:rPr>
      </w:pPr>
      <w:r>
        <w:rPr>
          <w:rFonts w:hint="eastAsia" w:ascii="仿宋_GB2312" w:hAnsi="仿宋_GB2312" w:eastAsia="仿宋_GB2312"/>
          <w:sz w:val="32"/>
          <w:szCs w:val="32"/>
        </w:rPr>
        <w:t>1、项目资金实际总投入情况</w:t>
      </w:r>
    </w:p>
    <w:p w14:paraId="159ED528">
      <w:pPr>
        <w:pStyle w:val="8"/>
        <w:ind w:firstLine="640"/>
      </w:pPr>
      <w:r>
        <w:rPr>
          <w:rFonts w:hint="eastAsia"/>
        </w:rPr>
        <w:t>县电子政务统一平台技术支持和安全运维经费实际总投入775000元。</w:t>
      </w:r>
    </w:p>
    <w:p w14:paraId="45E8156C">
      <w:pPr>
        <w:numPr>
          <w:ilvl w:val="0"/>
          <w:numId w:val="1"/>
        </w:numPr>
        <w:spacing w:line="560" w:lineRule="exact"/>
        <w:ind w:firstLine="640" w:firstLineChars="200"/>
        <w:rPr>
          <w:rFonts w:ascii="仿宋_GB2312" w:hAnsi="仿宋_GB2312" w:eastAsia="仿宋_GB2312"/>
          <w:sz w:val="32"/>
          <w:szCs w:val="32"/>
        </w:rPr>
      </w:pPr>
      <w:r>
        <w:rPr>
          <w:rFonts w:hint="eastAsia" w:ascii="仿宋_GB2312" w:hAnsi="仿宋_GB2312" w:eastAsia="仿宋_GB2312"/>
          <w:sz w:val="32"/>
          <w:szCs w:val="32"/>
        </w:rPr>
        <w:t>项目资金实际支出情况</w:t>
      </w:r>
    </w:p>
    <w:p w14:paraId="7FD7349B">
      <w:pPr>
        <w:pStyle w:val="8"/>
        <w:ind w:firstLine="640"/>
      </w:pPr>
      <w:r>
        <w:rPr>
          <w:rFonts w:hint="eastAsia"/>
        </w:rPr>
        <w:t>该项目实际支出775000元，于2023年3月分别支付中国移动通信集团广东有限公司韶关分公司（包组一）626667元，中国电信股份有限公司韶关分公司（包组二）148333元。</w:t>
      </w:r>
    </w:p>
    <w:p w14:paraId="242E2FC2">
      <w:pPr>
        <w:numPr>
          <w:ilvl w:val="0"/>
          <w:numId w:val="1"/>
        </w:numPr>
        <w:spacing w:line="560" w:lineRule="exact"/>
        <w:ind w:firstLine="640" w:firstLineChars="200"/>
        <w:rPr>
          <w:rFonts w:ascii="仿宋_GB2312" w:hAnsi="仿宋_GB2312" w:eastAsia="仿宋_GB2312"/>
          <w:sz w:val="32"/>
          <w:szCs w:val="32"/>
        </w:rPr>
      </w:pPr>
      <w:r>
        <w:rPr>
          <w:rFonts w:hint="eastAsia" w:ascii="仿宋_GB2312" w:hAnsi="仿宋_GB2312" w:eastAsia="仿宋_GB2312"/>
          <w:sz w:val="32"/>
          <w:szCs w:val="32"/>
        </w:rPr>
        <w:t>项目的绩效目标完成情况（经济、政治和社会效益）。</w:t>
      </w:r>
    </w:p>
    <w:p w14:paraId="55EAF7A6">
      <w:pPr>
        <w:pStyle w:val="8"/>
        <w:ind w:firstLine="640"/>
      </w:pPr>
      <w:r>
        <w:rPr>
          <w:rFonts w:hint="eastAsia"/>
        </w:rPr>
        <w:t>该项目建设了基础能力服务中心，大数据互联互通所需的政务外网，横向接入132个单位、部门和企业、纵向连接9个镇、11</w:t>
      </w:r>
      <w:r>
        <w:rPr>
          <w:rFonts w:hint="eastAsia"/>
          <w:lang w:val="en-US" w:eastAsia="zh-CN"/>
        </w:rPr>
        <w:t>6</w:t>
      </w:r>
      <w:bookmarkStart w:id="0" w:name="_GoBack"/>
      <w:bookmarkEnd w:id="0"/>
      <w:r>
        <w:rPr>
          <w:rFonts w:hint="eastAsia"/>
        </w:rPr>
        <w:t>个村居，对接了教育专网、人社专网、视频专网和企业内网，为形成横向到边、纵向到底的“数字乳源”大网络格局提供了保障，既打破了网络壁垒、保证了政务信息安全，又减少了重复建设和租用成本支出。</w:t>
      </w:r>
    </w:p>
    <w:p w14:paraId="364C7ABD">
      <w:pPr>
        <w:pStyle w:val="8"/>
        <w:ind w:firstLine="640"/>
      </w:pPr>
      <w:r>
        <w:rPr>
          <w:rFonts w:hint="eastAsia"/>
        </w:rPr>
        <w:t>同时，县电子政务统一平台技术支持和安全运维服务筑牢了我县网络安全屏障，通过网络、终端的流量监测，定时查杀病毒，能及时发现异常流量、入侵行为，提升了网络安全防范能力。</w:t>
      </w:r>
    </w:p>
    <w:p w14:paraId="24B5E93A">
      <w:pPr>
        <w:spacing w:line="560" w:lineRule="exact"/>
        <w:ind w:firstLine="640" w:firstLineChars="200"/>
        <w:rPr>
          <w:rFonts w:ascii="仿宋_GB2312" w:eastAsia="仿宋_GB2312"/>
          <w:sz w:val="32"/>
          <w:szCs w:val="32"/>
        </w:rPr>
      </w:pPr>
      <w:r>
        <w:rPr>
          <w:rFonts w:hint="eastAsia" w:ascii="仿宋_GB2312" w:hAnsi="仿宋_GB2312" w:eastAsia="仿宋_GB2312"/>
          <w:sz w:val="32"/>
          <w:szCs w:val="32"/>
        </w:rPr>
        <w:t>4、项目资金使用效益，对环境、经济、社会的可持续影响。</w:t>
      </w:r>
    </w:p>
    <w:p w14:paraId="112FFBFC">
      <w:pPr>
        <w:pStyle w:val="8"/>
        <w:ind w:firstLine="640"/>
        <w:rPr>
          <w:highlight w:val="yellow"/>
        </w:rPr>
      </w:pPr>
      <w:r>
        <w:rPr>
          <w:rFonts w:hint="eastAsia"/>
        </w:rPr>
        <w:t>项目资金的使用，为县电子政务统一平台及OA等多个核心业务的系统提供了全面、专业、及时、高效、安全的技术支持和安全运维服务。同时，在不涉及平台和业务系统底层基础框架、技术路线和网络环境大幅修改的条件下，可针对平台和系统运行情况、存在问题、政策要求调整进行功能升级拓展及优化，切实发挥平台和系统最大的效益。</w:t>
      </w:r>
    </w:p>
    <w:p w14:paraId="7A0C2550">
      <w:pPr>
        <w:numPr>
          <w:ilvl w:val="0"/>
          <w:numId w:val="2"/>
        </w:numPr>
        <w:spacing w:line="560" w:lineRule="exact"/>
        <w:ind w:firstLine="640" w:firstLineChars="200"/>
        <w:rPr>
          <w:rFonts w:ascii="仿宋_GB2312" w:eastAsia="仿宋_GB2312"/>
          <w:sz w:val="32"/>
          <w:szCs w:val="32"/>
        </w:rPr>
      </w:pPr>
      <w:r>
        <w:rPr>
          <w:rFonts w:hint="eastAsia" w:ascii="仿宋_GB2312" w:eastAsia="仿宋_GB2312"/>
          <w:sz w:val="32"/>
          <w:szCs w:val="32"/>
        </w:rPr>
        <w:t>存在问题</w:t>
      </w:r>
    </w:p>
    <w:p w14:paraId="288CD61B">
      <w:pPr>
        <w:pStyle w:val="8"/>
        <w:ind w:firstLine="640"/>
      </w:pPr>
      <w:r>
        <w:rPr>
          <w:rFonts w:hint="eastAsia"/>
        </w:rPr>
        <w:t>无。</w:t>
      </w:r>
    </w:p>
    <w:p w14:paraId="51920302">
      <w:pPr>
        <w:spacing w:line="560" w:lineRule="exact"/>
        <w:ind w:firstLine="640" w:firstLineChars="200"/>
        <w:rPr>
          <w:rFonts w:ascii="黑体" w:eastAsia="黑体"/>
          <w:sz w:val="32"/>
          <w:szCs w:val="32"/>
        </w:rPr>
      </w:pPr>
      <w:r>
        <w:rPr>
          <w:rFonts w:hint="eastAsia" w:ascii="黑体" w:eastAsia="黑体"/>
          <w:sz w:val="32"/>
          <w:szCs w:val="32"/>
        </w:rPr>
        <w:t>三、改进意见</w:t>
      </w:r>
    </w:p>
    <w:p w14:paraId="7944AC39">
      <w:pPr>
        <w:pStyle w:val="8"/>
        <w:ind w:firstLine="640"/>
      </w:pPr>
      <w:r>
        <w:rPr>
          <w:rFonts w:hint="eastAsia"/>
        </w:rPr>
        <w:t>无。</w:t>
      </w:r>
    </w:p>
    <w:p w14:paraId="0673CC65">
      <w:pPr>
        <w:spacing w:line="560" w:lineRule="exact"/>
        <w:ind w:firstLine="640" w:firstLineChars="200"/>
        <w:rPr>
          <w:rFonts w:ascii="黑体" w:eastAsia="黑体"/>
          <w:sz w:val="32"/>
          <w:szCs w:val="32"/>
        </w:rPr>
      </w:pPr>
      <w:r>
        <w:rPr>
          <w:rFonts w:hint="eastAsia" w:ascii="黑体" w:eastAsia="黑体"/>
          <w:sz w:val="32"/>
          <w:szCs w:val="32"/>
        </w:rPr>
        <w:t>四、其他需要说明的情况</w:t>
      </w:r>
    </w:p>
    <w:p w14:paraId="69C9B0D6">
      <w:pPr>
        <w:pStyle w:val="8"/>
        <w:ind w:firstLine="640"/>
      </w:pPr>
      <w:r>
        <w:rPr>
          <w:rFonts w:hint="eastAsia"/>
        </w:rPr>
        <w:t>无。</w:t>
      </w:r>
    </w:p>
    <w:p w14:paraId="4C166769">
      <w:pPr>
        <w:pStyle w:val="8"/>
        <w:ind w:firstLine="640"/>
      </w:pPr>
    </w:p>
    <w:p w14:paraId="54E550CF">
      <w:pPr>
        <w:pStyle w:val="8"/>
        <w:ind w:firstLine="640"/>
      </w:pPr>
    </w:p>
    <w:p w14:paraId="248E816C">
      <w:pPr>
        <w:pStyle w:val="10"/>
      </w:pPr>
      <w:r>
        <w:rPr>
          <w:rFonts w:hint="eastAsia"/>
        </w:rPr>
        <w:t>乳源瑶族自治县政务服务数据管理局</w:t>
      </w:r>
    </w:p>
    <w:p w14:paraId="6B77364B">
      <w:pPr>
        <w:pStyle w:val="10"/>
      </w:pPr>
      <w:r>
        <w:rPr>
          <w:rFonts w:hint="eastAsia"/>
        </w:rPr>
        <w:t>2024年3月</w:t>
      </w:r>
      <w:r>
        <w:t>1</w:t>
      </w:r>
      <w:r>
        <w:rPr>
          <w:rFonts w:hint="eastAsia"/>
        </w:rPr>
        <w:t>9日</w:t>
      </w:r>
    </w:p>
    <w:sectPr>
      <w:pgSz w:w="11906" w:h="16838"/>
      <w:pgMar w:top="1418" w:right="1418" w:bottom="1418"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BA02048-B60C-4FFB-A27C-77066C76C775}"/>
  </w:font>
  <w:font w:name="Arial">
    <w:panose1 w:val="020B0604020202020204"/>
    <w:charset w:val="01"/>
    <w:family w:val="swiss"/>
    <w:pitch w:val="default"/>
    <w:sig w:usb0="E0002EFF" w:usb1="C000785B" w:usb2="00000009" w:usb3="00000000" w:csb0="400001FF" w:csb1="FFFF0000"/>
    <w:embedRegular r:id="rId2" w:fontKey="{EB7F54D4-871B-4500-8757-0F0F0A421F1C}"/>
  </w:font>
  <w:font w:name="黑体">
    <w:panose1 w:val="02010609060101010101"/>
    <w:charset w:val="86"/>
    <w:family w:val="auto"/>
    <w:pitch w:val="default"/>
    <w:sig w:usb0="800002BF" w:usb1="38CF7CFA" w:usb2="00000016" w:usb3="00000000" w:csb0="00040001" w:csb1="00000000"/>
    <w:embedRegular r:id="rId3" w:fontKey="{BE304403-445B-4596-961E-00BAF1CC0CB0}"/>
  </w:font>
  <w:font w:name="Courier New">
    <w:panose1 w:val="02070309020205020404"/>
    <w:charset w:val="01"/>
    <w:family w:val="modern"/>
    <w:pitch w:val="default"/>
    <w:sig w:usb0="E0002EFF" w:usb1="C0007843" w:usb2="00000009" w:usb3="00000000" w:csb0="400001FF" w:csb1="FFFF0000"/>
    <w:embedRegular r:id="rId4" w:fontKey="{BC131E37-3513-494B-9775-FE5FA99B1E23}"/>
  </w:font>
  <w:font w:name="Symbol">
    <w:panose1 w:val="05050102010706020507"/>
    <w:charset w:val="02"/>
    <w:family w:val="roman"/>
    <w:pitch w:val="default"/>
    <w:sig w:usb0="00000000" w:usb1="00000000" w:usb2="00000000" w:usb3="00000000" w:csb0="80000000" w:csb1="00000000"/>
    <w:embedRegular r:id="rId5" w:fontKey="{1EE49247-6969-4819-BFA2-E35F0FDA5CFE}"/>
  </w:font>
  <w:font w:name="Calibri">
    <w:panose1 w:val="020F0502020204030204"/>
    <w:charset w:val="00"/>
    <w:family w:val="swiss"/>
    <w:pitch w:val="default"/>
    <w:sig w:usb0="E4002EFF" w:usb1="C000247B" w:usb2="00000009" w:usb3="00000000" w:csb0="200001FF" w:csb1="00000000"/>
    <w:embedRegular r:id="rId6" w:fontKey="{5CA5DF9E-65D4-4D03-9D61-3C2E9BDA7A65}"/>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embedRegular r:id="rId7" w:fontKey="{45921C9A-87A5-4C8E-B518-A78A3632F2D7}"/>
  </w:font>
  <w:font w:name="方正黑体简体">
    <w:panose1 w:val="03000509000000000000"/>
    <w:charset w:val="86"/>
    <w:family w:val="auto"/>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49DA13"/>
    <w:multiLevelType w:val="singleLevel"/>
    <w:tmpl w:val="B649DA13"/>
    <w:lvl w:ilvl="0" w:tentative="0">
      <w:start w:val="2"/>
      <w:numFmt w:val="decimal"/>
      <w:suff w:val="nothing"/>
      <w:lvlText w:val="%1、"/>
      <w:lvlJc w:val="left"/>
    </w:lvl>
  </w:abstractNum>
  <w:abstractNum w:abstractNumId="1">
    <w:nsid w:val="D9CEE2DB"/>
    <w:multiLevelType w:val="singleLevel"/>
    <w:tmpl w:val="D9CEE2DB"/>
    <w:lvl w:ilvl="0" w:tentative="0">
      <w:start w:val="2"/>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g5ZGNhYTc5NjNlOWEzYTQyYTI2MTQ1YmFlYmVmZmEifQ=="/>
  </w:docVars>
  <w:rsids>
    <w:rsidRoot w:val="00F22CA7"/>
    <w:rsid w:val="000051D5"/>
    <w:rsid w:val="000560B1"/>
    <w:rsid w:val="000E49C7"/>
    <w:rsid w:val="00110FFF"/>
    <w:rsid w:val="00181557"/>
    <w:rsid w:val="00182223"/>
    <w:rsid w:val="001E39BE"/>
    <w:rsid w:val="00220A6B"/>
    <w:rsid w:val="00265A18"/>
    <w:rsid w:val="003623C8"/>
    <w:rsid w:val="003B25CA"/>
    <w:rsid w:val="003F2CFE"/>
    <w:rsid w:val="00406EC0"/>
    <w:rsid w:val="00421B96"/>
    <w:rsid w:val="00436D77"/>
    <w:rsid w:val="004903E7"/>
    <w:rsid w:val="00534213"/>
    <w:rsid w:val="00665C62"/>
    <w:rsid w:val="006F6EA7"/>
    <w:rsid w:val="00793AEC"/>
    <w:rsid w:val="007E778E"/>
    <w:rsid w:val="008627AC"/>
    <w:rsid w:val="0087074D"/>
    <w:rsid w:val="00916C35"/>
    <w:rsid w:val="009C14D0"/>
    <w:rsid w:val="00A03BE0"/>
    <w:rsid w:val="00A060AB"/>
    <w:rsid w:val="00A8533B"/>
    <w:rsid w:val="00B318E5"/>
    <w:rsid w:val="00B76FCF"/>
    <w:rsid w:val="00BC52BE"/>
    <w:rsid w:val="00BD35F7"/>
    <w:rsid w:val="00C07195"/>
    <w:rsid w:val="00E409B6"/>
    <w:rsid w:val="00E8265B"/>
    <w:rsid w:val="00EE444F"/>
    <w:rsid w:val="00F22CA7"/>
    <w:rsid w:val="00FE1FFF"/>
    <w:rsid w:val="00FE415D"/>
    <w:rsid w:val="08EB0BD3"/>
    <w:rsid w:val="0F4B1623"/>
    <w:rsid w:val="1BEA0FB0"/>
    <w:rsid w:val="21DE32F1"/>
    <w:rsid w:val="257D5348"/>
    <w:rsid w:val="2729250A"/>
    <w:rsid w:val="2A0C3112"/>
    <w:rsid w:val="2C9E4AA6"/>
    <w:rsid w:val="38A33B00"/>
    <w:rsid w:val="39921607"/>
    <w:rsid w:val="43E425EB"/>
    <w:rsid w:val="468762A1"/>
    <w:rsid w:val="4CF13E5E"/>
    <w:rsid w:val="4DE23EF3"/>
    <w:rsid w:val="4E325C24"/>
    <w:rsid w:val="5375086E"/>
    <w:rsid w:val="584865BD"/>
    <w:rsid w:val="591A34F4"/>
    <w:rsid w:val="5C602626"/>
    <w:rsid w:val="656125CA"/>
    <w:rsid w:val="6C1A42D3"/>
    <w:rsid w:val="72066A6D"/>
    <w:rsid w:val="792263D5"/>
    <w:rsid w:val="7E552A1C"/>
    <w:rsid w:val="7EDD39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link w:val="7"/>
    <w:autoRedefine/>
    <w:unhideWhenUsed/>
    <w:qFormat/>
    <w:uiPriority w:val="99"/>
    <w:pPr>
      <w:tabs>
        <w:tab w:val="center" w:pos="4153"/>
        <w:tab w:val="right" w:pos="8306"/>
      </w:tabs>
      <w:snapToGrid w:val="0"/>
      <w:jc w:val="left"/>
    </w:pPr>
    <w:rPr>
      <w:sz w:val="18"/>
      <w:szCs w:val="18"/>
    </w:rPr>
  </w:style>
  <w:style w:type="paragraph" w:styleId="3">
    <w:name w:val="header"/>
    <w:basedOn w:val="1"/>
    <w:link w:val="6"/>
    <w:autoRedefine/>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autoRedefine/>
    <w:qFormat/>
    <w:uiPriority w:val="99"/>
    <w:rPr>
      <w:rFonts w:ascii="Times New Roman" w:hAnsi="Times New Roman" w:eastAsia="宋体" w:cs="Times New Roman"/>
      <w:sz w:val="18"/>
      <w:szCs w:val="18"/>
    </w:rPr>
  </w:style>
  <w:style w:type="character" w:customStyle="1" w:styleId="7">
    <w:name w:val="页脚 字符"/>
    <w:basedOn w:val="5"/>
    <w:link w:val="2"/>
    <w:autoRedefine/>
    <w:qFormat/>
    <w:uiPriority w:val="99"/>
    <w:rPr>
      <w:rFonts w:ascii="Times New Roman" w:hAnsi="Times New Roman" w:eastAsia="宋体" w:cs="Times New Roman"/>
      <w:sz w:val="18"/>
      <w:szCs w:val="18"/>
    </w:rPr>
  </w:style>
  <w:style w:type="paragraph" w:customStyle="1" w:styleId="8">
    <w:name w:val="项目绩评正文"/>
    <w:basedOn w:val="1"/>
    <w:link w:val="9"/>
    <w:autoRedefine/>
    <w:qFormat/>
    <w:uiPriority w:val="0"/>
    <w:pPr>
      <w:spacing w:line="600" w:lineRule="exact"/>
      <w:ind w:firstLine="200" w:firstLineChars="200"/>
    </w:pPr>
    <w:rPr>
      <w:rFonts w:ascii="仿宋_GB2312" w:hAnsi="仿宋_GB2312" w:eastAsia="仿宋_GB2312"/>
      <w:color w:val="17375E" w:themeColor="text2" w:themeShade="BF"/>
      <w:sz w:val="32"/>
      <w:szCs w:val="32"/>
    </w:rPr>
  </w:style>
  <w:style w:type="character" w:customStyle="1" w:styleId="9">
    <w:name w:val="项目绩评正文 字符"/>
    <w:basedOn w:val="5"/>
    <w:link w:val="8"/>
    <w:autoRedefine/>
    <w:qFormat/>
    <w:uiPriority w:val="0"/>
    <w:rPr>
      <w:rFonts w:ascii="仿宋_GB2312" w:hAnsi="仿宋_GB2312" w:eastAsia="仿宋_GB2312" w:cs="Times New Roman"/>
      <w:color w:val="17375E" w:themeColor="text2" w:themeShade="BF"/>
      <w:kern w:val="2"/>
      <w:sz w:val="32"/>
      <w:szCs w:val="32"/>
    </w:rPr>
  </w:style>
  <w:style w:type="paragraph" w:customStyle="1" w:styleId="10">
    <w:name w:val="落款"/>
    <w:basedOn w:val="1"/>
    <w:link w:val="11"/>
    <w:autoRedefine/>
    <w:qFormat/>
    <w:uiPriority w:val="0"/>
    <w:pPr>
      <w:spacing w:line="360" w:lineRule="auto"/>
      <w:ind w:left="2940" w:leftChars="1400" w:firstLine="640" w:firstLineChars="200"/>
      <w:jc w:val="center"/>
    </w:pPr>
    <w:rPr>
      <w:rFonts w:ascii="仿宋_GB2312" w:eastAsia="仿宋_GB2312"/>
      <w:color w:val="17375E" w:themeColor="text2" w:themeShade="BF"/>
      <w:sz w:val="32"/>
      <w:szCs w:val="32"/>
    </w:rPr>
  </w:style>
  <w:style w:type="character" w:customStyle="1" w:styleId="11">
    <w:name w:val="落款 字符"/>
    <w:basedOn w:val="5"/>
    <w:link w:val="10"/>
    <w:autoRedefine/>
    <w:qFormat/>
    <w:uiPriority w:val="0"/>
    <w:rPr>
      <w:rFonts w:ascii="仿宋_GB2312" w:hAnsi="Times New Roman" w:eastAsia="仿宋_GB2312" w:cs="Times New Roman"/>
      <w:color w:val="17375E" w:themeColor="text2" w:themeShade="BF"/>
      <w:kern w:val="2"/>
      <w:sz w:val="32"/>
      <w:szCs w:val="32"/>
    </w:rPr>
  </w:style>
  <w:style w:type="paragraph" w:customStyle="1" w:styleId="12">
    <w:name w:val="报告正文"/>
    <w:autoRedefine/>
    <w:qFormat/>
    <w:uiPriority w:val="0"/>
    <w:pPr>
      <w:widowControl w:val="0"/>
      <w:spacing w:line="580" w:lineRule="exact"/>
      <w:ind w:firstLine="640" w:firstLineChars="200"/>
      <w:jc w:val="both"/>
    </w:pPr>
    <w:rPr>
      <w:rFonts w:ascii="仿宋_GB2312" w:hAnsi="仿宋_GB2312" w:eastAsia="仿宋_GB2312" w:cs="Times New Roman"/>
      <w:color w:val="215968" w:themeColor="accent5" w:themeShade="80"/>
      <w:sz w:val="32"/>
      <w:szCs w:val="32"/>
      <w:lang w:val="en-US" w:eastAsia="zh-CN" w:bidi="ar-SA"/>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5</Pages>
  <Words>1852</Words>
  <Characters>1905</Characters>
  <Lines>15</Lines>
  <Paragraphs>4</Paragraphs>
  <TotalTime>69</TotalTime>
  <ScaleCrop>false</ScaleCrop>
  <LinksUpToDate>false</LinksUpToDate>
  <CharactersWithSpaces>1905</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2020-03-20T10:15:00Z</dcterms:created>
  <dc:creator>lenovo</dc:creator>
  <cp:lastModifiedBy>吴昊</cp:lastModifiedBy>
  <cp:lastPrinted>2023-06-28T01:27:00Z</cp:lastPrinted>
  <dcterms:modified xsi:type="dcterms:W3CDTF">2024-09-19T10:18:31Z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KSOSaveFontToCloudKey">
    <vt:lpwstr>724063182_embed</vt:lpwstr>
  </property>
  <property fmtid="{D5CDD505-2E9C-101B-9397-08002B2CF9AE}" pid="4" name="ICV">
    <vt:lpwstr>1F1095D3B8024077B428BAA725790D56_13</vt:lpwstr>
  </property>
</Properties>
</file>