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本项目是人才资源开发专项经费，主要用于我县青年人才补贴、人才引进工作开支、人才公寓日常维护等，完成我县本年制度人才引进招聘任务，保障各类人才福利待遇得到保障。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项目自评等级为优，分数96。具体分析如下：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6.资金支付：资金支付率99.5%，得5分。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24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共1130万元，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已拨付11243860.42元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8C036ED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23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2024-04-07T10:00:32Z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