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after="0"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aps w:val="0"/>
          <w:color w:val="auto"/>
          <w:spacing w:val="0"/>
          <w:sz w:val="44"/>
          <w:szCs w:val="44"/>
          <w:u w:val="none"/>
          <w:lang w:eastAsia="zh-CN"/>
        </w:rPr>
      </w:pPr>
      <w:r>
        <w:pict>
          <v:shape id="_x0000_s1026" o:spid="_x0000_s1026" o:spt="136" type="#_x0000_t136" style="position:absolute;left:0pt;margin-left:-5.2pt;margin-top:9.4pt;height:36.5pt;width:416pt;z-index:251659264;mso-width-relative:page;mso-height-relative:page;" fillcolor="#FF0000" filled="t" stroked="t" coordsize="21600,21600" adj="10800">
            <v:path/>
            <v:fill on="t" focussize="0,0"/>
            <v:stroke color="#FF0000"/>
            <v:imagedata o:title=""/>
            <o:lock v:ext="edit" grouping="f" rotation="f" text="f" aspectratio="f"/>
            <v:textpath on="t" fitshape="t" fitpath="t" trim="t" xscale="f" string="共青团乳源瑶族自治县委员会" style="font-family:方正小标宋简体;font-size:32pt;v-text-align:justify;"/>
          </v:shape>
        </w:pict>
      </w:r>
    </w:p>
    <w:p>
      <w:pPr>
        <w:pStyle w:val="2"/>
        <w:keepNext w:val="0"/>
        <w:keepLines w:val="0"/>
        <w:pageBreakBefore w:val="0"/>
        <w:widowControl/>
        <w:suppressLineNumbers w:val="0"/>
        <w:kinsoku/>
        <w:wordWrap/>
        <w:overflowPunct/>
        <w:topLinePunct w:val="0"/>
        <w:autoSpaceDE/>
        <w:autoSpaceDN/>
        <w:bidi w:val="0"/>
        <w:adjustRightInd/>
        <w:snapToGrid/>
        <w:spacing w:before="0" w:after="0" w:line="70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caps w:val="0"/>
          <w:color w:val="auto"/>
          <w:spacing w:val="0"/>
          <w:sz w:val="44"/>
          <w:szCs w:val="44"/>
          <w:u w:val="none"/>
          <w:lang w:eastAsia="zh-CN"/>
        </w:rPr>
      </w:pPr>
      <w:r>
        <mc:AlternateContent>
          <mc:Choice Requires="wps">
            <w:drawing>
              <wp:anchor distT="0" distB="0" distL="114300" distR="114300" simplePos="0" relativeHeight="251662336" behindDoc="0" locked="0" layoutInCell="1" allowOverlap="1">
                <wp:simplePos x="0" y="0"/>
                <wp:positionH relativeFrom="column">
                  <wp:posOffset>-143510</wp:posOffset>
                </wp:positionH>
                <wp:positionV relativeFrom="paragraph">
                  <wp:posOffset>287655</wp:posOffset>
                </wp:positionV>
                <wp:extent cx="5419090" cy="635"/>
                <wp:effectExtent l="0" t="15875" r="10160" b="21590"/>
                <wp:wrapNone/>
                <wp:docPr id="1" name="直线 3"/>
                <wp:cNvGraphicFramePr/>
                <a:graphic xmlns:a="http://schemas.openxmlformats.org/drawingml/2006/main">
                  <a:graphicData uri="http://schemas.microsoft.com/office/word/2010/wordprocessingShape">
                    <wps:wsp>
                      <wps:cNvSpPr/>
                      <wps:spPr>
                        <a:xfrm>
                          <a:off x="0" y="0"/>
                          <a:ext cx="5419090" cy="635"/>
                        </a:xfrm>
                        <a:prstGeom prst="line">
                          <a:avLst/>
                        </a:prstGeom>
                        <a:ln w="31750" cap="flat" cmpd="sng">
                          <a:solidFill>
                            <a:srgbClr val="FF0000"/>
                          </a:solidFill>
                          <a:prstDash val="solid"/>
                          <a:headEnd type="none" w="med" len="med"/>
                          <a:tailEnd type="none" w="med" len="med"/>
                        </a:ln>
                      </wps:spPr>
                      <wps:bodyPr upright="1"/>
                    </wps:wsp>
                  </a:graphicData>
                </a:graphic>
              </wp:anchor>
            </w:drawing>
          </mc:Choice>
          <mc:Fallback>
            <w:pict>
              <v:line id="直线 3" o:spid="_x0000_s1026" o:spt="20" style="position:absolute;left:0pt;margin-left:-11.3pt;margin-top:22.65pt;height:0.05pt;width:426.7pt;z-index:251662336;mso-width-relative:page;mso-height-relative:page;" filled="f" stroked="t" coordsize="21600,21600" o:gfxdata="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xrQrfZAAAACQEAAA8AAAAAAAAAAQAgAAAA&#10;IgAAAGRycy9kb3ducmV2LnhtbFBLAQIUABQAAAAIAIdO4kD6ELgR0QEAAJADAAAOAAAAAAAAAAEA&#10;IAAAACgBAABkcnMvZTJvRG9jLnhtbFBLBQYAAAAABgAGAFkBAABrBQAAAAA=&#10;">
                <v:path arrowok="t"/>
                <v:fill on="f" focussize="0,0"/>
                <v:stroke weight="2.5pt" color="#FF0000"/>
                <v:imagedata o:title=""/>
                <o:lock v:ext="edit" grouping="f" rotation="f" text="f" aspectratio="f"/>
              </v:line>
            </w:pict>
          </mc:Fallback>
        </mc:AlternateContent>
      </w:r>
    </w:p>
    <w:p>
      <w:pPr>
        <w:pStyle w:val="2"/>
        <w:keepNext w:val="0"/>
        <w:keepLines w:val="0"/>
        <w:pageBreakBefore w:val="0"/>
        <w:widowControl/>
        <w:suppressLineNumbers w:val="0"/>
        <w:kinsoku/>
        <w:wordWrap/>
        <w:overflowPunct/>
        <w:topLinePunct w:val="0"/>
        <w:autoSpaceDE/>
        <w:autoSpaceDN/>
        <w:bidi w:val="0"/>
        <w:adjustRightInd/>
        <w:snapToGrid/>
        <w:spacing w:before="0" w:after="0"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aps w:val="0"/>
          <w:color w:val="auto"/>
          <w:spacing w:val="0"/>
          <w:sz w:val="44"/>
          <w:szCs w:val="44"/>
          <w:u w:val="none"/>
          <w:lang w:eastAsia="zh-CN"/>
        </w:rPr>
      </w:pPr>
      <w:r>
        <w:rPr>
          <w:rFonts w:hint="eastAsia" w:ascii="方正小标宋简体" w:hAnsi="方正小标宋简体" w:eastAsia="方正小标宋简体" w:cs="方正小标宋简体"/>
          <w:caps w:val="0"/>
          <w:color w:val="auto"/>
          <w:spacing w:val="0"/>
          <w:sz w:val="44"/>
          <w:szCs w:val="44"/>
          <w:u w:val="none"/>
          <w:lang w:eastAsia="zh-CN"/>
        </w:rPr>
        <w:t>乳源团县委</w:t>
      </w:r>
      <w:r>
        <w:rPr>
          <w:rFonts w:hint="eastAsia" w:ascii="方正小标宋简体" w:hAnsi="方正小标宋简体" w:eastAsia="方正小标宋简体" w:cs="方正小标宋简体"/>
          <w:caps w:val="0"/>
          <w:color w:val="auto"/>
          <w:spacing w:val="0"/>
          <w:sz w:val="44"/>
          <w:szCs w:val="44"/>
          <w:u w:val="none"/>
          <w:lang w:val="en-US" w:eastAsia="zh-CN"/>
        </w:rPr>
        <w:t>2018年</w:t>
      </w:r>
      <w:r>
        <w:rPr>
          <w:rFonts w:hint="eastAsia" w:ascii="方正小标宋简体" w:hAnsi="方正小标宋简体" w:eastAsia="方正小标宋简体" w:cs="方正小标宋简体"/>
          <w:caps w:val="0"/>
          <w:color w:val="auto"/>
          <w:spacing w:val="0"/>
          <w:sz w:val="44"/>
          <w:szCs w:val="44"/>
          <w:u w:val="none"/>
          <w:lang w:eastAsia="zh-CN"/>
        </w:rPr>
        <w:t>财政预算有关情况说明</w:t>
      </w:r>
    </w:p>
    <w:p>
      <w:pPr>
        <w:pStyle w:val="2"/>
        <w:keepNext w:val="0"/>
        <w:keepLines w:val="0"/>
        <w:pageBreakBefore w:val="0"/>
        <w:widowControl/>
        <w:suppressLineNumbers w:val="0"/>
        <w:kinsoku/>
        <w:wordWrap/>
        <w:overflowPunct/>
        <w:topLinePunct w:val="0"/>
        <w:autoSpaceDE/>
        <w:autoSpaceDN/>
        <w:bidi w:val="0"/>
        <w:adjustRightInd/>
        <w:snapToGrid/>
        <w:spacing w:before="0" w:after="0" w:line="560" w:lineRule="exact"/>
        <w:ind w:left="0" w:leftChars="0" w:right="0" w:rightChars="0" w:firstLine="880" w:firstLineChars="200"/>
        <w:jc w:val="center"/>
        <w:textAlignment w:val="auto"/>
        <w:outlineLvl w:val="9"/>
        <w:rPr>
          <w:rFonts w:hint="eastAsia" w:ascii="方正小标宋简体" w:hAnsi="方正小标宋简体" w:eastAsia="方正小标宋简体" w:cs="方正小标宋简体"/>
          <w:caps w:val="0"/>
          <w:color w:val="auto"/>
          <w:spacing w:val="0"/>
          <w:sz w:val="44"/>
          <w:szCs w:val="44"/>
          <w:u w:val="none"/>
          <w:lang w:eastAsia="zh-CN"/>
        </w:rPr>
      </w:pPr>
      <w:bookmarkStart w:id="0" w:name="_GoBack"/>
      <w:bookmarkEnd w:id="0"/>
    </w:p>
    <w:p>
      <w:pPr>
        <w:pStyle w:val="2"/>
        <w:keepNext w:val="0"/>
        <w:keepLines w:val="0"/>
        <w:pageBreakBefore w:val="0"/>
        <w:widowControl/>
        <w:suppressLineNumbers w:val="0"/>
        <w:kinsoku/>
        <w:wordWrap w:val="0"/>
        <w:overflowPunct w:val="0"/>
        <w:topLinePunct w:val="0"/>
        <w:autoSpaceDE/>
        <w:autoSpaceDN/>
        <w:bidi w:val="0"/>
        <w:adjustRightInd/>
        <w:snapToGrid/>
        <w:spacing w:before="0" w:after="0" w:line="560" w:lineRule="exact"/>
        <w:ind w:left="0" w:leftChars="0" w:right="0" w:rightChars="0"/>
        <w:jc w:val="both"/>
        <w:textAlignment w:val="auto"/>
        <w:outlineLvl w:val="9"/>
        <w:rPr>
          <w:rFonts w:hint="eastAsia" w:ascii="方正仿宋简体" w:hAnsi="方正仿宋简体" w:eastAsia="方正仿宋简体" w:cs="方正仿宋简体"/>
          <w:caps w:val="0"/>
          <w:color w:val="auto"/>
          <w:spacing w:val="0"/>
          <w:sz w:val="32"/>
          <w:szCs w:val="32"/>
          <w:u w:val="none"/>
          <w:lang w:eastAsia="zh-CN"/>
        </w:rPr>
      </w:pPr>
      <w:r>
        <w:rPr>
          <w:rFonts w:hint="eastAsia" w:ascii="方正仿宋简体" w:hAnsi="方正仿宋简体" w:eastAsia="方正仿宋简体" w:cs="方正仿宋简体"/>
          <w:caps w:val="0"/>
          <w:color w:val="auto"/>
          <w:spacing w:val="0"/>
          <w:sz w:val="32"/>
          <w:szCs w:val="32"/>
          <w:u w:val="none"/>
          <w:lang w:eastAsia="zh-CN"/>
        </w:rPr>
        <w:t>县财政局：</w:t>
      </w:r>
    </w:p>
    <w:p>
      <w:pPr>
        <w:pStyle w:val="2"/>
        <w:keepNext w:val="0"/>
        <w:keepLines w:val="0"/>
        <w:pageBreakBefore w:val="0"/>
        <w:widowControl/>
        <w:suppressLineNumbers w:val="0"/>
        <w:kinsoku/>
        <w:wordWrap w:val="0"/>
        <w:overflowPunct w:val="0"/>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r>
        <w:rPr>
          <w:rFonts w:hint="eastAsia" w:ascii="方正仿宋简体" w:hAnsi="方正仿宋简体" w:eastAsia="方正仿宋简体" w:cs="方正仿宋简体"/>
          <w:caps w:val="0"/>
          <w:color w:val="auto"/>
          <w:spacing w:val="0"/>
          <w:sz w:val="32"/>
          <w:szCs w:val="32"/>
          <w:u w:val="none"/>
          <w:lang w:eastAsia="zh-CN"/>
        </w:rPr>
        <w:t>为深入贯彻中央、省委、市委群团改革工作会议精神，进一步落实《广东共青团改革方案》相关要求，切实解决我县团的基层基础薄弱等突出问题，更好地发挥共青团党的助手和后备军的作用，同时，根据县委办印发的《乳源瑶族自治县推进共青团改革实施方案》（乳办发</w:t>
      </w:r>
      <w:r>
        <w:rPr>
          <w:rFonts w:hint="eastAsia" w:ascii="方正仿宋简体" w:hAnsi="方正仿宋简体" w:eastAsia="方正仿宋简体" w:cs="方正仿宋简体"/>
          <w:caps w:val="0"/>
          <w:color w:val="auto"/>
          <w:spacing w:val="0"/>
          <w:sz w:val="32"/>
          <w:szCs w:val="32"/>
          <w:u w:val="none"/>
          <w:lang w:val="en-US" w:eastAsia="zh-CN"/>
        </w:rPr>
        <w:t>﹝2017﹞6号）的相关要求，重点解决好共青团工作经费严重不足的问题，“从2017年起，按照托低保高原则，安排县级团委工作经费（不含人员工资）不低于25万/年，县团委工作经费列入财政预算。”为确保我委2018年工作经费达到改革文件要求，保证各项工作的正常运转，我委2018年的工作经费需在2017年的21.1万元的基础上增至25万元以上，具体需要增加预算经费如下所列：</w:t>
      </w: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leftChars="200" w:right="0" w:rightChars="0" w:firstLine="320" w:firstLineChars="100"/>
        <w:jc w:val="both"/>
        <w:textAlignment w:val="auto"/>
        <w:outlineLvl w:val="9"/>
        <w:rPr>
          <w:rFonts w:hint="eastAsia" w:ascii="方正黑体简体" w:hAnsi="方正黑体简体" w:eastAsia="方正黑体简体" w:cs="方正黑体简体"/>
          <w:caps w:val="0"/>
          <w:color w:val="auto"/>
          <w:spacing w:val="0"/>
          <w:sz w:val="32"/>
          <w:szCs w:val="32"/>
          <w:u w:val="none"/>
          <w:lang w:val="en-US" w:eastAsia="zh-CN"/>
        </w:rPr>
      </w:pPr>
      <w:r>
        <w:rPr>
          <w:rFonts w:hint="eastAsia" w:ascii="方正黑体简体" w:hAnsi="方正黑体简体" w:eastAsia="方正黑体简体" w:cs="方正黑体简体"/>
          <w:caps w:val="0"/>
          <w:color w:val="auto"/>
          <w:spacing w:val="0"/>
          <w:sz w:val="32"/>
          <w:szCs w:val="32"/>
          <w:u w:val="none"/>
          <w:lang w:val="en-US" w:eastAsia="zh-CN"/>
        </w:rPr>
        <w:t>一、新增团干培训经费4万元。</w:t>
      </w:r>
    </w:p>
    <w:p>
      <w:pPr>
        <w:pStyle w:val="2"/>
        <w:keepNext w:val="0"/>
        <w:keepLines w:val="0"/>
        <w:pageBreakBefore w:val="0"/>
        <w:widowControl/>
        <w:suppressLineNumbers w:val="0"/>
        <w:kinsoku/>
        <w:wordWrap w:val="0"/>
        <w:overflowPunct w:val="0"/>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r>
        <w:rPr>
          <w:rFonts w:hint="eastAsia" w:ascii="方正仿宋简体" w:hAnsi="方正仿宋简体" w:eastAsia="方正仿宋简体" w:cs="方正仿宋简体"/>
          <w:caps w:val="0"/>
          <w:color w:val="auto"/>
          <w:spacing w:val="0"/>
          <w:sz w:val="32"/>
          <w:szCs w:val="32"/>
          <w:u w:val="none"/>
        </w:rPr>
        <w:t>团干部是共青团工作的骨干力量，是党的干部队伍的重要组成部分。团干部教育培训是建设高素质团干部队伍的先导性、基础性、战略性工程。加强团干部教育培训工作，对于做好新形势下党的青年群众工作，推动共青团事业取得新发展，具有十分重要的意义。</w:t>
      </w: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r>
        <w:rPr>
          <w:rFonts w:hint="eastAsia" w:ascii="方正仿宋简体" w:hAnsi="方正仿宋简体" w:eastAsia="方正仿宋简体" w:cs="方正仿宋简体"/>
          <w:caps w:val="0"/>
          <w:color w:val="auto"/>
          <w:spacing w:val="0"/>
          <w:sz w:val="32"/>
          <w:szCs w:val="32"/>
          <w:u w:val="none"/>
        </w:rPr>
        <w:t>通过</w:t>
      </w:r>
      <w:r>
        <w:rPr>
          <w:rFonts w:hint="eastAsia" w:ascii="方正仿宋简体" w:hAnsi="方正仿宋简体" w:eastAsia="方正仿宋简体" w:cs="方正仿宋简体"/>
          <w:caps w:val="0"/>
          <w:color w:val="auto"/>
          <w:spacing w:val="0"/>
          <w:sz w:val="32"/>
          <w:szCs w:val="32"/>
          <w:u w:val="none"/>
          <w:lang w:eastAsia="zh-CN"/>
        </w:rPr>
        <w:t>开展</w:t>
      </w:r>
      <w:r>
        <w:rPr>
          <w:rFonts w:hint="eastAsia" w:ascii="方正仿宋简体" w:hAnsi="方正仿宋简体" w:eastAsia="方正仿宋简体" w:cs="方正仿宋简体"/>
          <w:caps w:val="0"/>
          <w:color w:val="auto"/>
          <w:spacing w:val="0"/>
          <w:sz w:val="32"/>
          <w:szCs w:val="32"/>
          <w:u w:val="none"/>
        </w:rPr>
        <w:t>团干部教育培训，使广大团干部理想信念更加坚定，业务能力更加过硬，工作作风更加扎实，综合素质明显提高。</w:t>
      </w:r>
      <w:r>
        <w:rPr>
          <w:rFonts w:hint="eastAsia" w:ascii="方正仿宋简体" w:hAnsi="方正仿宋简体" w:eastAsia="方正仿宋简体" w:cs="方正仿宋简体"/>
          <w:caps w:val="0"/>
          <w:color w:val="auto"/>
          <w:spacing w:val="0"/>
          <w:sz w:val="32"/>
          <w:szCs w:val="32"/>
          <w:u w:val="none"/>
          <w:lang w:val="en-US" w:eastAsia="zh-CN"/>
        </w:rPr>
        <w:t>全面加强团干部教育培训工作，制定团干部教育培训规划，建立分级分类团干部培训制度，</w:t>
      </w:r>
      <w:r>
        <w:rPr>
          <w:rFonts w:hint="eastAsia" w:ascii="方正仿宋简体" w:hAnsi="方正仿宋简体" w:eastAsia="方正仿宋简体" w:cs="方正仿宋简体"/>
          <w:caps w:val="0"/>
          <w:color w:val="auto"/>
          <w:spacing w:val="0"/>
          <w:sz w:val="32"/>
          <w:szCs w:val="32"/>
          <w:u w:val="none"/>
          <w:lang w:eastAsia="zh-CN"/>
        </w:rPr>
        <w:t>按照《乳源瑶族自治县推进共青团改革实施方案》（乳办发</w:t>
      </w:r>
      <w:r>
        <w:rPr>
          <w:rFonts w:hint="eastAsia" w:ascii="方正仿宋简体" w:hAnsi="方正仿宋简体" w:eastAsia="方正仿宋简体" w:cs="方正仿宋简体"/>
          <w:caps w:val="0"/>
          <w:color w:val="auto"/>
          <w:spacing w:val="0"/>
          <w:sz w:val="32"/>
          <w:szCs w:val="32"/>
          <w:u w:val="none"/>
          <w:lang w:val="en-US" w:eastAsia="zh-CN"/>
        </w:rPr>
        <w:t>﹝2017﹞6号）的相关要求，确保全县专职团干部每2年轮训1遍、兼职团干部在任期内至少接受1次县级以上或本系统本行业共青团工作专题培训。</w:t>
      </w: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right="0" w:rightChars="0" w:firstLine="640" w:firstLineChars="200"/>
        <w:jc w:val="both"/>
        <w:textAlignment w:val="auto"/>
        <w:outlineLvl w:val="9"/>
        <w:rPr>
          <w:rFonts w:hint="eastAsia" w:ascii="方正黑体简体" w:hAnsi="方正黑体简体" w:eastAsia="方正黑体简体" w:cs="方正黑体简体"/>
          <w:caps w:val="0"/>
          <w:color w:val="auto"/>
          <w:spacing w:val="0"/>
          <w:sz w:val="32"/>
          <w:szCs w:val="32"/>
          <w:u w:val="none"/>
          <w:lang w:val="en-US" w:eastAsia="zh-CN"/>
        </w:rPr>
      </w:pPr>
      <w:r>
        <w:rPr>
          <w:rFonts w:hint="eastAsia" w:ascii="方正黑体简体" w:hAnsi="方正黑体简体" w:eastAsia="方正黑体简体" w:cs="方正黑体简体"/>
          <w:caps w:val="0"/>
          <w:color w:val="auto"/>
          <w:spacing w:val="0"/>
          <w:sz w:val="32"/>
          <w:szCs w:val="32"/>
          <w:u w:val="none"/>
          <w:lang w:val="en-US" w:eastAsia="zh-CN"/>
        </w:rPr>
        <w:t>二、志愿服务工作经费增至5万元（2017年是4万元）。</w:t>
      </w: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r>
        <w:rPr>
          <w:rFonts w:hint="eastAsia" w:ascii="方正仿宋简体" w:hAnsi="方正仿宋简体" w:eastAsia="方正仿宋简体" w:cs="方正仿宋简体"/>
          <w:caps w:val="0"/>
          <w:color w:val="auto"/>
          <w:spacing w:val="0"/>
          <w:sz w:val="32"/>
          <w:szCs w:val="32"/>
          <w:u w:val="none"/>
          <w:lang w:val="en-US" w:eastAsia="zh-CN"/>
        </w:rPr>
        <w:t>目前我县正在创建全国县级文明城市，志愿者服务时长作为一项硬性指标进行验收考核，同时，为了进一步发挥志愿者在服务全县党政中心工作中的积极作用，大力弘扬“奉献、友爱、互助、进步”的志愿服务精神，积极营造“人人参与志愿服务，各界支持志愿服务”的社会氛围，大力促进我县志愿服务事业的发展，团县委在全县范围内开展了诸如文明交通劝导志愿服务活动、铁人三项赛志愿服务活动、环湖自行车赛志愿服务活动等“十月朝”系列志愿服务活动，“青春护绿”志愿服务活动，关爱留守儿童、孤寡老人等各式各样的志愿服务活动。为确保各项活动的顺利开展，我委申请志愿服务工作经费增至5万元（2017年是4万元）。</w:t>
      </w:r>
    </w:p>
    <w:p>
      <w:pPr>
        <w:pStyle w:val="2"/>
        <w:keepNext w:val="0"/>
        <w:keepLines w:val="0"/>
        <w:pageBreakBefore w:val="0"/>
        <w:widowControl/>
        <w:numPr>
          <w:ilvl w:val="0"/>
          <w:numId w:val="1"/>
        </w:numPr>
        <w:suppressLineNumbers w:val="0"/>
        <w:kinsoku/>
        <w:wordWrap w:val="0"/>
        <w:overflowPunct w:val="0"/>
        <w:topLinePunct w:val="0"/>
        <w:autoSpaceDE/>
        <w:autoSpaceDN/>
        <w:bidi w:val="0"/>
        <w:adjustRightInd/>
        <w:snapToGrid/>
        <w:spacing w:before="0" w:after="0" w:line="560" w:lineRule="exact"/>
        <w:ind w:right="0" w:rightChars="0" w:firstLine="640" w:firstLineChars="200"/>
        <w:jc w:val="both"/>
        <w:textAlignment w:val="auto"/>
        <w:outlineLvl w:val="9"/>
        <w:rPr>
          <w:rFonts w:hint="eastAsia" w:ascii="方正黑体简体" w:hAnsi="方正黑体简体" w:eastAsia="方正黑体简体" w:cs="方正黑体简体"/>
          <w:caps w:val="0"/>
          <w:color w:val="auto"/>
          <w:spacing w:val="0"/>
          <w:sz w:val="32"/>
          <w:szCs w:val="32"/>
          <w:u w:val="none"/>
          <w:lang w:val="en-US" w:eastAsia="zh-CN"/>
        </w:rPr>
      </w:pPr>
      <w:r>
        <w:rPr>
          <w:rFonts w:hint="eastAsia" w:ascii="方正黑体简体" w:hAnsi="方正黑体简体" w:eastAsia="方正黑体简体" w:cs="方正黑体简体"/>
          <w:caps w:val="0"/>
          <w:color w:val="auto"/>
          <w:spacing w:val="0"/>
          <w:sz w:val="32"/>
          <w:szCs w:val="32"/>
          <w:u w:val="none"/>
          <w:lang w:val="en-US" w:eastAsia="zh-CN"/>
        </w:rPr>
        <w:t>五四青年节系列活动经费增至4万元（2017年是3万元）。</w:t>
      </w: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r>
        <w:rPr>
          <w:rFonts w:hint="eastAsia" w:ascii="方正仿宋简体" w:hAnsi="方正仿宋简体" w:eastAsia="方正仿宋简体" w:cs="方正仿宋简体"/>
          <w:caps w:val="0"/>
          <w:color w:val="auto"/>
          <w:spacing w:val="0"/>
          <w:sz w:val="32"/>
          <w:szCs w:val="32"/>
          <w:u w:val="none"/>
          <w:lang w:val="en-US" w:eastAsia="zh-CN"/>
        </w:rPr>
        <w:t>习总书记</w:t>
      </w:r>
      <w:r>
        <w:rPr>
          <w:rFonts w:hint="default" w:ascii="方正仿宋简体" w:hAnsi="方正仿宋简体" w:eastAsia="方正仿宋简体" w:cs="方正仿宋简体"/>
          <w:caps w:val="0"/>
          <w:color w:val="auto"/>
          <w:spacing w:val="0"/>
          <w:sz w:val="32"/>
          <w:szCs w:val="32"/>
          <w:u w:val="none"/>
          <w:lang w:val="en-US" w:eastAsia="zh-CN"/>
        </w:rPr>
        <w:t>在十九大报告</w:t>
      </w:r>
      <w:r>
        <w:rPr>
          <w:rFonts w:hint="eastAsia" w:ascii="方正仿宋简体" w:hAnsi="方正仿宋简体" w:eastAsia="方正仿宋简体" w:cs="方正仿宋简体"/>
          <w:caps w:val="0"/>
          <w:color w:val="auto"/>
          <w:spacing w:val="0"/>
          <w:sz w:val="32"/>
          <w:szCs w:val="32"/>
          <w:u w:val="none"/>
          <w:lang w:val="en-US" w:eastAsia="zh-CN"/>
        </w:rPr>
        <w:t>中强调</w:t>
      </w:r>
      <w:r>
        <w:rPr>
          <w:rFonts w:hint="default" w:ascii="方正仿宋简体" w:hAnsi="方正仿宋简体" w:eastAsia="方正仿宋简体" w:cs="方正仿宋简体"/>
          <w:caps w:val="0"/>
          <w:color w:val="auto"/>
          <w:spacing w:val="0"/>
          <w:sz w:val="32"/>
          <w:szCs w:val="32"/>
          <w:u w:val="none"/>
          <w:lang w:val="en-US" w:eastAsia="zh-CN"/>
        </w:rPr>
        <w:t>:“青年兴则国家兴,青年强则国家强</w:t>
      </w:r>
      <w:r>
        <w:rPr>
          <w:rFonts w:hint="eastAsia" w:ascii="方正仿宋简体" w:hAnsi="方正仿宋简体" w:eastAsia="方正仿宋简体" w:cs="方正仿宋简体"/>
          <w:caps w:val="0"/>
          <w:color w:val="auto"/>
          <w:spacing w:val="0"/>
          <w:sz w:val="32"/>
          <w:szCs w:val="32"/>
          <w:u w:val="none"/>
          <w:lang w:val="en-US" w:eastAsia="zh-CN"/>
        </w:rPr>
        <w:t>。”2018年我委将严格按照习总书记的指示精神，切实加强对全县广大团员青年的思想教育和政治引领工作，引导广大团员青年奋发图强，继承五四传统，树立远大理想，不断锤炼品德，勇于开拓创新，积极投身实践，争当时代先锋。我委将围绕“弘扬五四精神”为主题，重点开展好以下几方面的活动。一是组织全县广大团员青年在五四期间开展各式各样纪念传承五四精神的文体活动，并对表现优秀的个人及作品进行表彰。二是组织全县广大团干部积极开展“1+100”联系青年活动，实现团干部真正“走进青年、融入青年、了解青年、联系青年、服务青年”。三是组织开展全县广大农村创业青年培训班，以培养农村致富带头人带领贫困户脱贫致富，助力全县精准扶贫工作的顺利开展。为确保以上各项活动的顺利开展，我委申请五四青年节系列活动经费增至4万元（2017年是3万元）。</w:t>
      </w:r>
    </w:p>
    <w:p>
      <w:pPr>
        <w:pStyle w:val="2"/>
        <w:keepNext w:val="0"/>
        <w:keepLines w:val="0"/>
        <w:pageBreakBefore w:val="0"/>
        <w:widowControl/>
        <w:numPr>
          <w:ilvl w:val="0"/>
          <w:numId w:val="1"/>
        </w:numPr>
        <w:suppressLineNumbers w:val="0"/>
        <w:kinsoku/>
        <w:wordWrap w:val="0"/>
        <w:overflowPunct w:val="0"/>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黑体简体" w:hAnsi="方正黑体简体" w:eastAsia="方正黑体简体" w:cs="方正黑体简体"/>
          <w:caps w:val="0"/>
          <w:color w:val="auto"/>
          <w:spacing w:val="0"/>
          <w:sz w:val="32"/>
          <w:szCs w:val="32"/>
          <w:u w:val="none"/>
          <w:lang w:val="en-US" w:eastAsia="zh-CN"/>
        </w:rPr>
      </w:pPr>
      <w:r>
        <w:rPr>
          <w:rFonts w:hint="eastAsia" w:ascii="方正黑体简体" w:hAnsi="方正黑体简体" w:eastAsia="方正黑体简体" w:cs="方正黑体简体"/>
          <w:caps w:val="0"/>
          <w:color w:val="auto"/>
          <w:spacing w:val="0"/>
          <w:sz w:val="32"/>
          <w:szCs w:val="32"/>
          <w:u w:val="none"/>
          <w:lang w:val="en-US" w:eastAsia="zh-CN"/>
        </w:rPr>
        <w:t>预防青少年违法犯罪工作经费增至2万元（2017年是1万元）。</w:t>
      </w: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r>
        <w:rPr>
          <w:rFonts w:hint="eastAsia" w:ascii="方正仿宋简体" w:hAnsi="方正仿宋简体" w:eastAsia="方正仿宋简体" w:cs="方正仿宋简体"/>
          <w:caps w:val="0"/>
          <w:color w:val="auto"/>
          <w:spacing w:val="0"/>
          <w:kern w:val="0"/>
          <w:sz w:val="32"/>
          <w:szCs w:val="32"/>
          <w:u w:val="none"/>
          <w:lang w:val="en-US" w:eastAsia="zh-CN" w:bidi="ar"/>
        </w:rPr>
        <w:t>预防青少年违法犯罪是当前社会治安综合治理的一项重要内容，同时也是创建平安乳源的专项任务，我委</w:t>
      </w:r>
      <w:r>
        <w:rPr>
          <w:rFonts w:hint="eastAsia" w:ascii="方正仿宋简体" w:hAnsi="方正仿宋简体" w:eastAsia="方正仿宋简体" w:cs="方正仿宋简体"/>
          <w:caps w:val="0"/>
          <w:color w:val="000000" w:themeColor="text1"/>
          <w:spacing w:val="0"/>
          <w:kern w:val="0"/>
          <w:sz w:val="32"/>
          <w:szCs w:val="32"/>
          <w:u w:val="none"/>
          <w:lang w:val="en-US" w:eastAsia="zh-CN" w:bidi="ar"/>
          <w14:textFill>
            <w14:solidFill>
              <w14:schemeClr w14:val="tx1"/>
            </w14:solidFill>
          </w14:textFill>
        </w:rPr>
        <w:t>将</w:t>
      </w:r>
      <w:r>
        <w:rPr>
          <w:rFonts w:hint="eastAsia" w:ascii="方正仿宋简体" w:hAnsi="方正仿宋简体" w:eastAsia="方正仿宋简体" w:cs="方正仿宋简体"/>
          <w:caps w:val="0"/>
          <w:color w:val="auto"/>
          <w:spacing w:val="0"/>
          <w:kern w:val="0"/>
          <w:sz w:val="32"/>
          <w:szCs w:val="32"/>
          <w:u w:val="none"/>
          <w:lang w:val="en-US" w:eastAsia="zh-CN" w:bidi="ar"/>
        </w:rPr>
        <w:t>紧紧围绕“减少和预防青少年违法犯罪，促进青少年健康成长”这条主线，进一步发挥预防青少年违法犯罪工作领导组成员单位的职能，切实加强预防青少年违法犯罪工作。并结合我县的实际情况，充分发挥共青团的组织优势，有计划、分步骤地组织开展</w:t>
      </w:r>
      <w:r>
        <w:rPr>
          <w:rFonts w:hint="eastAsia" w:ascii="方正仿宋简体" w:hAnsi="方正仿宋简体" w:eastAsia="方正仿宋简体" w:cs="方正仿宋简体"/>
          <w:caps w:val="0"/>
          <w:color w:val="auto"/>
          <w:spacing w:val="0"/>
          <w:sz w:val="32"/>
          <w:szCs w:val="32"/>
          <w:u w:val="none"/>
          <w:lang w:val="en-US" w:eastAsia="zh-CN"/>
        </w:rPr>
        <w:t>诸如</w:t>
      </w:r>
      <w:r>
        <w:rPr>
          <w:rFonts w:hint="eastAsia" w:ascii="方正仿宋简体" w:hAnsi="方正仿宋简体" w:eastAsia="方正仿宋简体" w:cs="方正仿宋简体"/>
          <w:caps w:val="0"/>
          <w:color w:val="auto"/>
          <w:spacing w:val="0"/>
          <w:kern w:val="0"/>
          <w:sz w:val="32"/>
          <w:szCs w:val="32"/>
          <w:u w:val="none"/>
          <w:lang w:val="en-US" w:eastAsia="zh-CN" w:bidi="ar"/>
        </w:rPr>
        <w:t>启动实施“法制宣传进校园”、“全县青少年网络文明行动”；开展“禁毒图片千校巡展活动”；推进“青少年维权岗”开展维护青少年合法权益工作；积极配合做好校园及周边地区治安整治等一系列的工作。为确保以上各项活动的顺利开展，我委申请</w:t>
      </w:r>
      <w:r>
        <w:rPr>
          <w:rFonts w:hint="eastAsia" w:ascii="方正仿宋简体" w:hAnsi="方正仿宋简体" w:eastAsia="方正仿宋简体" w:cs="方正仿宋简体"/>
          <w:caps w:val="0"/>
          <w:color w:val="auto"/>
          <w:spacing w:val="0"/>
          <w:sz w:val="32"/>
          <w:szCs w:val="32"/>
          <w:u w:val="none"/>
          <w:lang w:val="en-US" w:eastAsia="zh-CN"/>
        </w:rPr>
        <w:t>预防青少年违法犯罪工作经费增至2万元（2017年是1万元）。</w:t>
      </w: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leftChars="200" w:right="0" w:rightChars="0" w:firstLine="320" w:firstLineChars="1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r>
        <w:rPr>
          <w:rFonts w:hint="eastAsia" w:ascii="方正黑体简体" w:hAnsi="方正黑体简体" w:eastAsia="方正黑体简体" w:cs="方正黑体简体"/>
          <w:caps w:val="0"/>
          <w:color w:val="auto"/>
          <w:spacing w:val="0"/>
          <w:sz w:val="32"/>
          <w:szCs w:val="32"/>
          <w:u w:val="none"/>
          <w:lang w:val="en-US" w:eastAsia="zh-CN"/>
        </w:rPr>
        <w:t>五、乡镇团委工作经费统一拨付至团县委。</w:t>
      </w: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r>
        <w:rPr>
          <w:rFonts w:hint="eastAsia" w:ascii="方正仿宋简体" w:hAnsi="方正仿宋简体" w:eastAsia="方正仿宋简体" w:cs="方正仿宋简体"/>
          <w:caps w:val="0"/>
          <w:color w:val="auto"/>
          <w:spacing w:val="0"/>
          <w:sz w:val="32"/>
          <w:szCs w:val="32"/>
          <w:u w:val="none"/>
          <w:lang w:val="en-US" w:eastAsia="zh-CN"/>
        </w:rPr>
        <w:t>为了更好的落实我县共青团改革工作，加强对各乡镇团委的统筹指导，切实解决乡镇团委基础薄弱问题，确保共青团工作有序有力开展。现申请将各乡镇2万元的团委工作经费统一拨付至我委，统一管理。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kern w:val="0"/>
          <w:sz w:val="32"/>
          <w:szCs w:val="32"/>
          <w:u w:val="none"/>
          <w:lang w:val="en-US" w:eastAsia="zh-CN" w:bidi="ar"/>
        </w:rPr>
      </w:pP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right="0" w:rightChars="0" w:firstLine="640" w:firstLineChars="200"/>
        <w:jc w:val="both"/>
        <w:textAlignment w:val="auto"/>
        <w:outlineLvl w:val="9"/>
        <w:rPr>
          <w:rFonts w:hint="eastAsia" w:ascii="方正仿宋简体" w:hAnsi="方正仿宋简体" w:eastAsia="方正仿宋简体" w:cs="方正仿宋简体"/>
          <w:caps w:val="0"/>
          <w:color w:val="auto"/>
          <w:spacing w:val="0"/>
          <w:sz w:val="32"/>
          <w:szCs w:val="32"/>
          <w:u w:val="none"/>
          <w:lang w:val="en-US" w:eastAsia="zh-CN"/>
        </w:rPr>
      </w:pPr>
    </w:p>
    <w:p>
      <w:pPr>
        <w:pStyle w:val="2"/>
        <w:keepNext w:val="0"/>
        <w:keepLines w:val="0"/>
        <w:pageBreakBefore w:val="0"/>
        <w:widowControl/>
        <w:numPr>
          <w:ilvl w:val="0"/>
          <w:numId w:val="0"/>
        </w:numPr>
        <w:suppressLineNumbers w:val="0"/>
        <w:kinsoku/>
        <w:wordWrap w:val="0"/>
        <w:overflowPunct w:val="0"/>
        <w:topLinePunct w:val="0"/>
        <w:autoSpaceDE/>
        <w:autoSpaceDN/>
        <w:bidi w:val="0"/>
        <w:adjustRightInd/>
        <w:snapToGrid/>
        <w:spacing w:before="0" w:after="0" w:line="560" w:lineRule="exact"/>
        <w:ind w:right="0" w:rightChars="0" w:firstLine="3840" w:firstLineChars="1200"/>
        <w:jc w:val="both"/>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共青团乳源瑶族自治县委员会</w:t>
      </w:r>
    </w:p>
    <w:p>
      <w:pPr>
        <w:keepNext w:val="0"/>
        <w:keepLines w:val="0"/>
        <w:pageBreakBefore w:val="0"/>
        <w:kinsoku/>
        <w:wordWrap w:val="0"/>
        <w:overflowPunct w:val="0"/>
        <w:topLinePunct w:val="0"/>
        <w:autoSpaceDE/>
        <w:autoSpaceDN/>
        <w:bidi w:val="0"/>
        <w:adjustRightInd/>
        <w:snapToGrid/>
        <w:spacing w:line="560" w:lineRule="exact"/>
        <w:ind w:left="0" w:leftChars="0" w:right="0" w:rightChars="0"/>
        <w:jc w:val="both"/>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2017年12月12日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F8FB3"/>
    <w:multiLevelType w:val="singleLevel"/>
    <w:tmpl w:val="5A2F8FB3"/>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0351B"/>
    <w:rsid w:val="06B5671C"/>
    <w:rsid w:val="0B5C1CB3"/>
    <w:rsid w:val="109E34B7"/>
    <w:rsid w:val="134A5C93"/>
    <w:rsid w:val="137802A9"/>
    <w:rsid w:val="13AD0EC1"/>
    <w:rsid w:val="17751C40"/>
    <w:rsid w:val="208C554D"/>
    <w:rsid w:val="22485908"/>
    <w:rsid w:val="27CC1510"/>
    <w:rsid w:val="2A843757"/>
    <w:rsid w:val="2F3B7B31"/>
    <w:rsid w:val="34AB4882"/>
    <w:rsid w:val="36422420"/>
    <w:rsid w:val="36917345"/>
    <w:rsid w:val="3AC55C60"/>
    <w:rsid w:val="3BF87C08"/>
    <w:rsid w:val="3E657386"/>
    <w:rsid w:val="41013D1F"/>
    <w:rsid w:val="417C65DF"/>
    <w:rsid w:val="468968F4"/>
    <w:rsid w:val="4A10351B"/>
    <w:rsid w:val="527B0B96"/>
    <w:rsid w:val="535D7658"/>
    <w:rsid w:val="556A623B"/>
    <w:rsid w:val="55935DD1"/>
    <w:rsid w:val="58BF2174"/>
    <w:rsid w:val="5FAA21B8"/>
    <w:rsid w:val="63A57098"/>
    <w:rsid w:val="67230A89"/>
    <w:rsid w:val="689560A8"/>
    <w:rsid w:val="6962357C"/>
    <w:rsid w:val="6D874BF7"/>
    <w:rsid w:val="718A608B"/>
    <w:rsid w:val="72E90774"/>
    <w:rsid w:val="7EB948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Emphasis"/>
    <w:basedOn w:val="3"/>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2017-10-31T01:53:00Z</dcterms:created>
  <dc:creator>Administrator</dc:creator>
  <cp:lastModifiedBy>Administrator</cp:lastModifiedBy>
  <cp:lastPrinted>2017-12-13T03:41:00Z</cp:lastPrinted>
  <dcterms:modified xsi:type="dcterms:W3CDTF">2017-12-13T07:16:08Z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