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救援辅助队志愿者协会开展公益活动经费该项目资金主要用于救援辅助队志愿者协会开展活动。经费支出流程严格按照单位财务制度管理办法要求实施。</w:t>
      </w:r>
      <w:bookmarkStart w:id="0" w:name="_GoBack"/>
      <w:bookmarkEnd w:id="0"/>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2023年救援辅助队志愿活动开展情况。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30000元。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2月拨付</w:t>
      </w:r>
      <w:r>
        <w:rPr>
          <w:rFonts w:hint="eastAsia" w:ascii="仿宋_GB2312" w:eastAsia="仿宋_GB2312"/>
          <w:sz w:val="32"/>
          <w:szCs w:val="32"/>
          <w:lang w:val="en-US" w:eastAsia="zh-CN"/>
        </w:rPr>
        <w:t>救援辅助队志愿者协会开展公益活动经费到救援辅助队账户。</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本项目提升了协会人员救援能力、达到救援效果，宣传加强了群众安全意识防范。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本项目持续提升协会人员救援能力、达到救援效果，宣传加强群众安全意识防范等。</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68762A1"/>
    <w:rsid w:val="5375086E"/>
    <w:rsid w:val="557D023F"/>
    <w:rsid w:val="558642D4"/>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2024-03-30T09:02:01Z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