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开展青年活动工作经费项目资金主要用于开展青年活动，作为活动的开支。</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开展青年活动：制定相关活动方案、根据方案开展相关活动。经费支出流程严格按照单位财务制度管理办法要求实施。</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2023年青年活动开展情况。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1280" w:firstLineChars="4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10000</w:t>
      </w:r>
      <w:bookmarkStart w:id="0" w:name="_GoBack"/>
      <w:bookmarkEnd w:id="0"/>
      <w:r>
        <w:rPr>
          <w:rFonts w:hint="eastAsia" w:ascii="仿宋_GB2312" w:hAnsi="仿宋_GB2312" w:eastAsia="仿宋_GB2312"/>
          <w:sz w:val="32"/>
          <w:szCs w:val="32"/>
          <w:lang w:val="en-US" w:eastAsia="zh-CN"/>
        </w:rPr>
        <w:t>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主要支付全年青年活动开展的租车费用：全年共计10000元。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本项目提高了青年综合素质和交际能力、加强了青年之间的交流学习。</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firstLine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本项目持续开展提高青年综合素质和交际能力、加强青年之间的交流学习等活动。</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2023年本部门在预算执行过程中基本上完成预算项目资金使用，达到预期效果。2024年将继续做好项目的推进，</w:t>
      </w:r>
      <w:r>
        <w:rPr>
          <w:rFonts w:hint="eastAsia" w:ascii="仿宋_GB2312" w:eastAsia="仿宋_GB2312"/>
          <w:sz w:val="32"/>
          <w:szCs w:val="32"/>
          <w:lang w:eastAsia="zh-CN"/>
        </w:rPr>
        <w:t>持续</w:t>
      </w:r>
      <w:r>
        <w:rPr>
          <w:rFonts w:hint="eastAsia" w:ascii="仿宋_GB2312" w:eastAsia="仿宋_GB2312"/>
          <w:sz w:val="32"/>
          <w:szCs w:val="32"/>
        </w:rPr>
        <w:t>项目资金支出进度达100%。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8FB1C0D"/>
    <w:rsid w:val="1BB63569"/>
    <w:rsid w:val="1BEA0FB0"/>
    <w:rsid w:val="209E511F"/>
    <w:rsid w:val="2A0C3112"/>
    <w:rsid w:val="39921607"/>
    <w:rsid w:val="468762A1"/>
    <w:rsid w:val="5375086E"/>
    <w:rsid w:val="593E0031"/>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2024-03-30T09:11:28Z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