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五四青年节系列活动经费该项目资金主要用于开展五四系列活动支出。经费支出流程严格按照单位财务制度管理办法要求实施。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2023年五四系列活动开展情况。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10000元。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五四活动租车费用：800元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团干培训场地、午餐：8000元</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付集中入团活动费用1200元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本项目指导各级团组织建设、完善青少年活动阵地和青年服务机构。</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本项目指导各级团组织建设、完善青少年活动阵地和青年服务机构。</w:t>
      </w:r>
      <w:bookmarkStart w:id="0" w:name="_GoBack"/>
      <w:bookmarkEnd w:id="0"/>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A0C3112"/>
    <w:rsid w:val="2DC72E95"/>
    <w:rsid w:val="39921607"/>
    <w:rsid w:val="468762A1"/>
    <w:rsid w:val="5375086E"/>
    <w:rsid w:val="557D023F"/>
    <w:rsid w:val="558642D4"/>
    <w:rsid w:val="59A13D08"/>
    <w:rsid w:val="68355D25"/>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2024-03-30T09:51:41Z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