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乳源瑶族自治县工业和信息化局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工业和信息化</w:t>
      </w:r>
      <w:r>
        <w:rPr>
          <w:rFonts w:hint="eastAsia" w:ascii="仿宋_GB2312" w:eastAsia="仿宋_GB2312"/>
          <w:sz w:val="32"/>
          <w:szCs w:val="32"/>
        </w:rPr>
        <w:t>局（</w:t>
      </w:r>
      <w:r>
        <w:rPr>
          <w:rFonts w:hint="eastAsia" w:ascii="仿宋_GB2312" w:eastAsia="仿宋_GB2312"/>
          <w:sz w:val="32"/>
          <w:szCs w:val="32"/>
          <w:lang w:eastAsia="zh-CN"/>
        </w:rPr>
        <w:t>县商务局、县科技局</w:t>
      </w:r>
      <w:r>
        <w:rPr>
          <w:rFonts w:hint="eastAsia" w:ascii="仿宋_GB2312" w:eastAsia="仿宋_GB2312"/>
          <w:sz w:val="32"/>
          <w:szCs w:val="32"/>
        </w:rPr>
        <w:t>）。机关行政编制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名，</w:t>
      </w:r>
      <w:r>
        <w:rPr>
          <w:rFonts w:hint="eastAsia" w:ascii="仿宋_GB2312" w:eastAsia="仿宋_GB2312"/>
          <w:sz w:val="32"/>
          <w:szCs w:val="32"/>
          <w:lang w:eastAsia="zh-CN"/>
        </w:rPr>
        <w:t>设局长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1名</w:t>
      </w:r>
      <w:r>
        <w:rPr>
          <w:rFonts w:hint="eastAsia" w:ascii="仿宋_GB2312" w:eastAsia="仿宋_GB2312"/>
          <w:sz w:val="32"/>
          <w:szCs w:val="32"/>
        </w:rPr>
        <w:t>，局属单位事业编制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名。乳源瑶族自治县</w:t>
      </w:r>
      <w:r>
        <w:rPr>
          <w:rFonts w:hint="eastAsia" w:ascii="仿宋_GB2312" w:eastAsia="仿宋_GB2312"/>
          <w:sz w:val="32"/>
          <w:szCs w:val="32"/>
          <w:lang w:eastAsia="zh-CN"/>
        </w:rPr>
        <w:t>工业和信息化</w:t>
      </w:r>
      <w:r>
        <w:rPr>
          <w:rFonts w:hint="eastAsia" w:ascii="仿宋_GB2312" w:eastAsia="仿宋_GB2312"/>
          <w:sz w:val="32"/>
          <w:szCs w:val="32"/>
        </w:rPr>
        <w:t>局主要职责是经济贸易、能源、科技等方面的法律法规和政策，编制县经济、科技发展等相关规划并组织实施。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该项目为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党建活动经费</w:t>
      </w:r>
      <w:r>
        <w:rPr>
          <w:rFonts w:hint="eastAsia" w:ascii="仿宋_GB2312" w:eastAsia="仿宋_GB2312"/>
          <w:color w:val="auto"/>
          <w:sz w:val="32"/>
          <w:szCs w:val="32"/>
        </w:rPr>
        <w:t>项目，用于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筑牢基层党建工作基础，激发党员干部的积极性。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实施程序为根据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《关于批复202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年部门预算的通知》（乳财〔202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号）将符</w:t>
      </w:r>
      <w:r>
        <w:rPr>
          <w:rFonts w:hint="eastAsia" w:ascii="仿宋_GB2312" w:eastAsia="仿宋_GB2312"/>
          <w:color w:val="auto"/>
          <w:sz w:val="32"/>
          <w:szCs w:val="32"/>
        </w:rPr>
        <w:t>合条件的项目提交班子会议谈论，按文件要求确定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商品和服务支出</w:t>
      </w:r>
      <w:r>
        <w:rPr>
          <w:rFonts w:hint="eastAsia" w:ascii="仿宋_GB2312" w:eastAsia="仿宋_GB2312"/>
          <w:color w:val="auto"/>
          <w:sz w:val="32"/>
          <w:szCs w:val="32"/>
        </w:rPr>
        <w:t>，确定最终项目和资金分配，再起草请示报告到县政府，由县政府同意实施后报财政局核拨经费。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经局预算项目绩效自评小组测评，项目运作完成预期目标，各项指标已符合要求，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社会</w:t>
      </w:r>
      <w:r>
        <w:rPr>
          <w:rFonts w:hint="eastAsia" w:ascii="仿宋_GB2312" w:eastAsia="仿宋_GB2312"/>
          <w:color w:val="auto"/>
          <w:sz w:val="32"/>
          <w:szCs w:val="32"/>
        </w:rPr>
        <w:t>效益明显。自评得分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color w:val="auto"/>
          <w:sz w:val="32"/>
          <w:szCs w:val="32"/>
        </w:rPr>
        <w:t>分，自评等级A级。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我局预算项目绩效自评工作小组对整个项目进行综合评价，从社会、经济、可持续发展效益方面进行分析，通过实施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专项资金，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党建培训2次；订党建资料、书刊、学习资料等291本；制作党建宣传栏18平方米。</w:t>
      </w:r>
      <w:r>
        <w:rPr>
          <w:rFonts w:hint="eastAsia" w:ascii="仿宋_GB2312" w:eastAsia="仿宋_GB2312"/>
          <w:color w:val="auto"/>
          <w:sz w:val="32"/>
          <w:szCs w:val="32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《关于批复202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年部门预算的通知》（乳财〔202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号）</w:t>
      </w:r>
      <w:r>
        <w:rPr>
          <w:rFonts w:hint="eastAsia" w:ascii="仿宋_GB2312" w:eastAsia="仿宋_GB2312"/>
          <w:color w:val="auto"/>
          <w:sz w:val="32"/>
          <w:szCs w:val="32"/>
        </w:rPr>
        <w:t>要求安排资金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，资金支付率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99.96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%，受训人员满意度100%。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本年度县财政拨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30000</w:t>
      </w:r>
      <w:r>
        <w:rPr>
          <w:rFonts w:hint="eastAsia" w:ascii="仿宋_GB2312" w:eastAsia="仿宋_GB2312"/>
          <w:color w:val="auto"/>
          <w:sz w:val="32"/>
          <w:szCs w:val="32"/>
        </w:rPr>
        <w:t>元，根据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《关于批复202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年部门预算的通知》（乳财〔202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号）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拨款</w:t>
      </w:r>
      <w:r>
        <w:rPr>
          <w:rFonts w:hint="eastAsia" w:ascii="仿宋_GB2312" w:eastAsia="仿宋_GB2312"/>
          <w:color w:val="auto"/>
          <w:sz w:val="32"/>
          <w:szCs w:val="32"/>
        </w:rPr>
        <w:t>共计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30000</w:t>
      </w:r>
      <w:r>
        <w:rPr>
          <w:rFonts w:hint="eastAsia" w:ascii="仿宋_GB2312" w:eastAsia="仿宋_GB2312"/>
          <w:color w:val="auto"/>
          <w:sz w:val="32"/>
          <w:szCs w:val="32"/>
        </w:rPr>
        <w:t>元，项目资金全部到位。资金安排见附件1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按照请示文件发放。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</w:rPr>
        <w:t>已支付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29986.6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元，支付进度99.96%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其中开展党建培训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2次，共计1000元；订党建资料、书刊、学习资料等291本，共计24114.6元；制作党建宣传栏18平方米，共计4872元。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项目经济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效益</w:t>
      </w:r>
      <w:r>
        <w:rPr>
          <w:rFonts w:hint="eastAsia" w:ascii="仿宋_GB2312" w:hAnsi="仿宋_GB2312" w:eastAsia="仿宋_GB2312"/>
          <w:sz w:val="32"/>
          <w:szCs w:val="32"/>
        </w:rPr>
        <w:t>：此项目在20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/>
          <w:sz w:val="32"/>
          <w:szCs w:val="32"/>
        </w:rPr>
        <w:t>年度县财政拨款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0000元。</w:t>
      </w:r>
      <w:r>
        <w:rPr>
          <w:rFonts w:hint="eastAsia" w:ascii="仿宋_GB2312" w:eastAsia="仿宋_GB2312"/>
          <w:color w:val="auto"/>
          <w:sz w:val="32"/>
          <w:szCs w:val="32"/>
        </w:rPr>
        <w:t>项目资金</w:t>
      </w:r>
      <w:r>
        <w:rPr>
          <w:rFonts w:hint="eastAsia" w:ascii="仿宋_GB2312" w:eastAsia="仿宋_GB2312"/>
          <w:sz w:val="32"/>
          <w:szCs w:val="32"/>
        </w:rPr>
        <w:t>已支付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29986.6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元，支付进度99.96%</w:t>
      </w:r>
      <w:r>
        <w:rPr>
          <w:rFonts w:hint="eastAsia" w:ascii="仿宋_GB2312" w:eastAsia="仿宋_GB2312"/>
          <w:color w:val="auto"/>
          <w:sz w:val="32"/>
          <w:szCs w:val="32"/>
        </w:rPr>
        <w:t>。有效保障了基层党组织的活动开展和工作进展，发挥党组织的战斗堡垒作用。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政治效益</w:t>
      </w:r>
      <w:r>
        <w:rPr>
          <w:rFonts w:hint="eastAsia" w:ascii="仿宋_GB2312" w:hAnsi="仿宋_GB2312" w:eastAsia="仿宋_GB2312"/>
          <w:sz w:val="32"/>
          <w:szCs w:val="32"/>
        </w:rPr>
        <w:t>：丰富学习形式，强化学习效果。让党员同志切身感受到党的关怀，提升广大党员干部的幸福感、获得感。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社会效益</w:t>
      </w:r>
      <w:r>
        <w:rPr>
          <w:rFonts w:hint="eastAsia" w:ascii="仿宋_GB2312" w:hAnsi="仿宋_GB2312" w:eastAsia="仿宋_GB2312"/>
          <w:sz w:val="32"/>
          <w:szCs w:val="32"/>
        </w:rPr>
        <w:t>：有效促进学习型机关建设，提高基层人员思想意识，促进精神文明建设。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巩固深化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主题教育成果</w:t>
      </w:r>
      <w:r>
        <w:rPr>
          <w:rFonts w:hint="eastAsia" w:ascii="仿宋_GB2312" w:hAnsi="仿宋_GB2312" w:eastAsia="仿宋_GB2312"/>
          <w:sz w:val="32"/>
          <w:szCs w:val="32"/>
        </w:rPr>
        <w:t>，创新党建工作内容和载体，不断增强基层党组织的学习能力、创造力、凝聚力、战斗力和服务能力。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方面好的经验方法，碰到的实际困难等其他需说明的内容。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003874"/>
    <w:multiLevelType w:val="singleLevel"/>
    <w:tmpl w:val="5000387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A387BA6"/>
    <w:rsid w:val="1BEA0FB0"/>
    <w:rsid w:val="2A0C3112"/>
    <w:rsid w:val="39921607"/>
    <w:rsid w:val="468762A1"/>
    <w:rsid w:val="5375086E"/>
    <w:rsid w:val="71CD023C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2024-03-29T04:22:58Z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FA9FAD6EBB306F60FB6FD565C6D382F8</vt:lpwstr>
  </property>
</Properties>
</file>