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3" w:firstLineChars="200"/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（一）项目用款单位简要情况</w:t>
      </w: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乳源瑶族自治县机关事务管理局为县委、县政府直属参照公务员法管理事业单位，正科级。设6个正股级内设机构：综合股、接待股、资产管理股、公车管理股、计划财务股和服务保障股。</w:t>
      </w:r>
    </w:p>
    <w:p>
      <w:pPr>
        <w:pStyle w:val="2"/>
        <w:ind w:left="0" w:leftChars="0" w:firstLine="0" w:firstLineChars="0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后勤保障经费主要是综合股、公车管理股、服务保障股三个股室使用。</w:t>
      </w:r>
    </w:p>
    <w:p>
      <w:pPr>
        <w:numPr>
          <w:ilvl w:val="0"/>
          <w:numId w:val="1"/>
        </w:numPr>
        <w:spacing w:line="360" w:lineRule="auto"/>
        <w:ind w:firstLine="643" w:firstLineChars="200"/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项目实施主要内容及实施程序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后勤保障经费项目实施主要内容：围绕县委、县政府的各项中心工作，提供有力的后勤服务保障。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实施内容：</w:t>
      </w:r>
    </w:p>
    <w:p>
      <w:pPr>
        <w:pStyle w:val="2"/>
        <w:numPr>
          <w:ilvl w:val="0"/>
          <w:numId w:val="2"/>
        </w:numPr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县政府大院物业管理服务费的采购。</w:t>
      </w:r>
    </w:p>
    <w:p>
      <w:pPr>
        <w:pStyle w:val="2"/>
        <w:numPr>
          <w:ilvl w:val="0"/>
          <w:numId w:val="2"/>
        </w:numPr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会议室物资的采购。</w:t>
      </w:r>
    </w:p>
    <w:p>
      <w:pPr>
        <w:pStyle w:val="2"/>
        <w:numPr>
          <w:ilvl w:val="0"/>
          <w:numId w:val="2"/>
        </w:numPr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大型活动物资搬运费用。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实施程序：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</w:t>
      </w:r>
      <w:r>
        <w:rPr>
          <w:rFonts w:hint="eastAsia" w:ascii="仿宋_GB2312" w:eastAsia="仿宋_GB2312"/>
          <w:sz w:val="32"/>
          <w:szCs w:val="32"/>
          <w:lang w:eastAsia="zh-CN"/>
        </w:rPr>
        <w:t>后勤保障经费实施“谁使用，谁申请”的原则，先提交申请单，审批后再走相应的流程</w:t>
      </w:r>
      <w:r>
        <w:rPr>
          <w:rFonts w:hint="eastAsia" w:ascii="仿宋_GB2312" w:eastAsia="仿宋_GB2312"/>
          <w:sz w:val="32"/>
          <w:szCs w:val="32"/>
        </w:rPr>
        <w:t>；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（2）</w:t>
      </w:r>
      <w:r>
        <w:rPr>
          <w:rFonts w:hint="eastAsia" w:ascii="仿宋_GB2312" w:eastAsia="仿宋_GB2312"/>
          <w:sz w:val="32"/>
          <w:szCs w:val="32"/>
          <w:lang w:eastAsia="zh-CN"/>
        </w:rPr>
        <w:t>集中采购范围使用智慧云平台实施集中采购，非集中采购采取三家竞价，价低者得的形式确定承包方。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（3）</w:t>
      </w:r>
      <w:r>
        <w:rPr>
          <w:rFonts w:hint="eastAsia" w:ascii="仿宋_GB2312" w:eastAsia="仿宋_GB2312"/>
          <w:sz w:val="32"/>
          <w:szCs w:val="32"/>
          <w:lang w:eastAsia="zh-CN"/>
        </w:rPr>
        <w:t>县政府大院物业管理，</w:t>
      </w:r>
      <w:r>
        <w:rPr>
          <w:rFonts w:hint="eastAsia" w:ascii="仿宋_GB2312" w:eastAsia="仿宋_GB2312"/>
          <w:sz w:val="32"/>
          <w:szCs w:val="32"/>
        </w:rPr>
        <w:t>通过公开招标</w:t>
      </w:r>
      <w:r>
        <w:rPr>
          <w:rFonts w:hint="eastAsia" w:ascii="仿宋_GB2312" w:eastAsia="仿宋_GB2312"/>
          <w:sz w:val="32"/>
          <w:szCs w:val="32"/>
          <w:lang w:eastAsia="zh-CN"/>
        </w:rPr>
        <w:t>程序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  <w:lang w:eastAsia="zh-CN"/>
        </w:rPr>
        <w:t>规范流程，</w:t>
      </w:r>
      <w:r>
        <w:rPr>
          <w:rFonts w:hint="eastAsia" w:ascii="仿宋_GB2312" w:eastAsia="仿宋_GB2312"/>
          <w:sz w:val="32"/>
          <w:szCs w:val="32"/>
        </w:rPr>
        <w:t>同时，以日常监督管理为主，结合抽查；</w:t>
      </w:r>
    </w:p>
    <w:p>
      <w:pPr>
        <w:pStyle w:val="2"/>
        <w:rPr>
          <w:rFonts w:hint="default" w:eastAsia="仿宋_GB231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（4）大额采购需经班子会议讨论，研讨采购的必要性，决定是否采购。</w:t>
      </w:r>
    </w:p>
    <w:p>
      <w:pPr>
        <w:spacing w:line="360" w:lineRule="auto"/>
        <w:ind w:firstLine="643" w:firstLineChars="200"/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（三）综述项目自评等级和分数，并对照佐证材料逐一分析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我局高度重视财政支出项目绩效自评工作，由单位分管领导主持制定《</w:t>
      </w:r>
      <w:r>
        <w:rPr>
          <w:rFonts w:hint="eastAsia" w:ascii="仿宋_GB2312" w:eastAsia="仿宋_GB2312"/>
          <w:sz w:val="32"/>
          <w:szCs w:val="32"/>
          <w:lang w:eastAsia="zh-CN"/>
        </w:rPr>
        <w:t>财政</w:t>
      </w:r>
      <w:r>
        <w:rPr>
          <w:rFonts w:hint="eastAsia" w:ascii="仿宋_GB2312" w:eastAsia="仿宋_GB2312"/>
          <w:sz w:val="32"/>
          <w:szCs w:val="32"/>
        </w:rPr>
        <w:t>项目支出绩效自评工作方案》，成立</w:t>
      </w:r>
      <w:r>
        <w:rPr>
          <w:rFonts w:hint="eastAsia" w:ascii="仿宋_GB2312" w:eastAsia="仿宋_GB2312"/>
          <w:sz w:val="32"/>
          <w:szCs w:val="32"/>
          <w:lang w:eastAsia="zh-CN"/>
        </w:rPr>
        <w:t>以局长为组长、各主管项目的业务股负责人为组员的</w:t>
      </w:r>
      <w:r>
        <w:rPr>
          <w:rFonts w:hint="eastAsia" w:ascii="仿宋_GB2312" w:eastAsia="仿宋_GB2312"/>
          <w:sz w:val="32"/>
          <w:szCs w:val="32"/>
        </w:rPr>
        <w:t>绩效自评工作领导小组，明确了领导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小组各组成成员的职责及分工，形成相互制约、相互监督的工作机制，认真开展项目支出绩效自评工作。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后勤保障经费</w:t>
      </w:r>
      <w:r>
        <w:rPr>
          <w:rFonts w:hint="eastAsia" w:ascii="仿宋_GB2312" w:eastAsia="仿宋_GB2312"/>
          <w:sz w:val="32"/>
          <w:szCs w:val="32"/>
        </w:rPr>
        <w:t>通过审查</w:t>
      </w:r>
      <w:r>
        <w:rPr>
          <w:rFonts w:hint="eastAsia" w:ascii="仿宋_GB2312" w:eastAsia="仿宋_GB2312"/>
          <w:sz w:val="32"/>
          <w:szCs w:val="32"/>
          <w:lang w:eastAsia="zh-CN"/>
        </w:rPr>
        <w:t>经费批复文件、后勤保障</w:t>
      </w:r>
      <w:r>
        <w:rPr>
          <w:rFonts w:hint="eastAsia" w:ascii="仿宋_GB2312" w:eastAsia="仿宋_GB2312"/>
          <w:sz w:val="32"/>
          <w:szCs w:val="32"/>
        </w:rPr>
        <w:t>经费支出明细账、记账凭证、原始凭证</w:t>
      </w:r>
      <w:r>
        <w:rPr>
          <w:rFonts w:hint="eastAsia" w:ascii="仿宋_GB2312" w:eastAsia="仿宋_GB2312"/>
          <w:sz w:val="32"/>
          <w:szCs w:val="32"/>
          <w:lang w:eastAsia="zh-CN"/>
        </w:rPr>
        <w:t>等，实地查看县政府大院物业管理服务情况，</w:t>
      </w:r>
      <w:r>
        <w:rPr>
          <w:rFonts w:hint="eastAsia" w:ascii="仿宋_GB2312" w:eastAsia="仿宋_GB2312"/>
          <w:sz w:val="32"/>
          <w:szCs w:val="32"/>
        </w:rPr>
        <w:t>认真对照财政专项资金绩效评价指标体系，对项目完成情况进行了全方位自查和自评打分</w:t>
      </w:r>
      <w:r>
        <w:rPr>
          <w:rFonts w:hint="eastAsia" w:ascii="仿宋_GB2312" w:eastAsia="仿宋_GB2312"/>
          <w:sz w:val="32"/>
          <w:szCs w:val="32"/>
          <w:lang w:eastAsia="zh-CN"/>
        </w:rPr>
        <w:t>，绩效自评综合等级为优，</w:t>
      </w:r>
      <w:r>
        <w:rPr>
          <w:rFonts w:hint="eastAsia" w:ascii="仿宋_GB2312" w:eastAsia="仿宋_GB2312"/>
          <w:sz w:val="32"/>
          <w:szCs w:val="32"/>
          <w:lang w:eastAsia="zh-CN"/>
        </w:rPr>
        <w:t>得分为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98分。</w:t>
      </w:r>
      <w:r>
        <w:rPr>
          <w:rFonts w:hint="eastAsia" w:ascii="仿宋_GB2312" w:eastAsia="仿宋_GB2312"/>
          <w:sz w:val="32"/>
          <w:szCs w:val="32"/>
        </w:rPr>
        <w:t>通过绩效自评，进一步规范财政资金规划管理，强化部门责任意识，提高财政资金使用效益。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3" w:firstLineChars="200"/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（一）资金使用绩效。</w:t>
      </w:r>
    </w:p>
    <w:p>
      <w:pPr>
        <w:spacing w:line="360" w:lineRule="auto"/>
        <w:ind w:firstLine="643" w:firstLineChars="200"/>
        <w:rPr>
          <w:rFonts w:ascii="仿宋_GB2312" w:hAnsi="仿宋_GB2312" w:eastAsia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/>
          <w:b/>
          <w:bCs/>
          <w:sz w:val="32"/>
          <w:szCs w:val="32"/>
        </w:rPr>
        <w:t>1、项目资金实际总投入情况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后勤保障经费</w:t>
      </w:r>
      <w:r>
        <w:rPr>
          <w:rFonts w:hint="eastAsia" w:ascii="仿宋_GB2312" w:hAnsi="仿宋_GB2312" w:eastAsia="仿宋_GB2312"/>
          <w:sz w:val="32"/>
          <w:szCs w:val="32"/>
        </w:rPr>
        <w:t>项目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年度</w:t>
      </w:r>
      <w:r>
        <w:rPr>
          <w:rFonts w:hint="eastAsia" w:ascii="仿宋_GB2312" w:hAnsi="仿宋_GB2312" w:eastAsia="仿宋_GB2312"/>
          <w:sz w:val="32"/>
          <w:szCs w:val="32"/>
        </w:rPr>
        <w:t>资金安排总额共计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393.42</w:t>
      </w:r>
      <w:r>
        <w:rPr>
          <w:rFonts w:hint="eastAsia" w:ascii="仿宋_GB2312" w:hAnsi="仿宋_GB2312" w:eastAsia="仿宋_GB2312"/>
          <w:sz w:val="32"/>
          <w:szCs w:val="32"/>
        </w:rPr>
        <w:t>万元。我局按照年初项目工作计划，控制项目成本，较好地完成了各项工作任务。</w:t>
      </w:r>
    </w:p>
    <w:p>
      <w:pPr>
        <w:numPr>
          <w:ilvl w:val="0"/>
          <w:numId w:val="0"/>
        </w:numPr>
        <w:spacing w:line="360" w:lineRule="auto"/>
        <w:ind w:firstLine="643" w:firstLineChars="200"/>
        <w:rPr>
          <w:rFonts w:ascii="仿宋_GB2312" w:hAnsi="仿宋_GB2312" w:eastAsia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_GB2312" w:hAnsi="仿宋_GB2312" w:eastAsia="仿宋_GB2312"/>
          <w:b/>
          <w:bCs/>
          <w:sz w:val="32"/>
          <w:szCs w:val="32"/>
        </w:rPr>
        <w:t>项目资金实际支出情况，具体详细说明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后勤保障经费</w:t>
      </w:r>
      <w:r>
        <w:rPr>
          <w:rFonts w:hint="eastAsia" w:ascii="仿宋_GB2312" w:hAnsi="仿宋_GB2312" w:eastAsia="仿宋_GB2312"/>
          <w:sz w:val="32"/>
          <w:szCs w:val="32"/>
        </w:rPr>
        <w:t>项目资金严格按照项目进度进行支付，支出共计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364.5035</w:t>
      </w:r>
      <w:r>
        <w:rPr>
          <w:rFonts w:hint="eastAsia" w:ascii="仿宋_GB2312" w:hAnsi="仿宋_GB2312" w:eastAsia="仿宋_GB2312"/>
          <w:sz w:val="32"/>
          <w:szCs w:val="32"/>
        </w:rPr>
        <w:t>万元，年末资金使用达到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92.65</w:t>
      </w:r>
      <w:r>
        <w:rPr>
          <w:rFonts w:hint="eastAsia" w:ascii="仿宋_GB2312" w:hAnsi="仿宋_GB2312" w:eastAsia="仿宋_GB2312"/>
          <w:sz w:val="32"/>
          <w:szCs w:val="32"/>
        </w:rPr>
        <w:t>%，不存在重复支付。</w:t>
      </w:r>
    </w:p>
    <w:p>
      <w:pPr>
        <w:numPr>
          <w:ilvl w:val="0"/>
          <w:numId w:val="0"/>
        </w:numPr>
        <w:spacing w:line="360" w:lineRule="auto"/>
        <w:ind w:firstLine="643" w:firstLineChars="200"/>
        <w:rPr>
          <w:rFonts w:ascii="仿宋_GB2312" w:hAnsi="仿宋_GB2312" w:eastAsia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_GB2312" w:hAnsi="仿宋_GB2312" w:eastAsia="仿宋_GB2312"/>
          <w:b/>
          <w:bCs/>
          <w:sz w:val="32"/>
          <w:szCs w:val="32"/>
        </w:rPr>
        <w:t>项目的绩效目标完成情况（经济、政治和社会效益）</w:t>
      </w:r>
    </w:p>
    <w:p>
      <w:pPr>
        <w:spacing w:line="360" w:lineRule="auto"/>
        <w:ind w:firstLine="648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pacing w:val="2"/>
          <w:kern w:val="10"/>
          <w:position w:val="2"/>
          <w:sz w:val="32"/>
          <w:szCs w:val="32"/>
        </w:rPr>
        <w:t>202</w:t>
      </w:r>
      <w:r>
        <w:rPr>
          <w:rFonts w:hint="eastAsia" w:ascii="仿宋_GB2312" w:eastAsia="仿宋_GB2312"/>
          <w:spacing w:val="2"/>
          <w:kern w:val="10"/>
          <w:position w:val="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pacing w:val="2"/>
          <w:kern w:val="10"/>
          <w:position w:val="2"/>
          <w:sz w:val="32"/>
          <w:szCs w:val="32"/>
        </w:rPr>
        <w:t>年，我局紧紧围绕</w:t>
      </w:r>
      <w:r>
        <w:rPr>
          <w:rFonts w:hint="eastAsia" w:ascii="仿宋_GB2312" w:eastAsia="仿宋_GB2312" w:cs="Tahoma"/>
          <w:spacing w:val="2"/>
          <w:kern w:val="10"/>
          <w:position w:val="2"/>
          <w:sz w:val="32"/>
          <w:szCs w:val="32"/>
        </w:rPr>
        <w:t>县委、县政府的各项中心工作，在平凡的工作中，牢牢</w:t>
      </w:r>
      <w:r>
        <w:rPr>
          <w:rFonts w:hint="eastAsia" w:ascii="仿宋_GB2312" w:hAnsi="??" w:eastAsia="仿宋_GB2312"/>
          <w:sz w:val="32"/>
          <w:szCs w:val="32"/>
        </w:rPr>
        <w:t>抓住“做好服务工作”这一主线，坚持务实创新、扎实工作，</w:t>
      </w:r>
      <w:r>
        <w:rPr>
          <w:rFonts w:hint="eastAsia" w:ascii="仿宋_GB2312" w:eastAsia="仿宋_GB2312"/>
          <w:sz w:val="32"/>
          <w:szCs w:val="32"/>
        </w:rPr>
        <w:t>较好地完成了</w:t>
      </w:r>
      <w:r>
        <w:rPr>
          <w:rFonts w:hint="eastAsia" w:ascii="仿宋_GB2312" w:hAnsi="??" w:eastAsia="仿宋_GB2312"/>
          <w:sz w:val="32"/>
          <w:szCs w:val="32"/>
          <w:lang w:eastAsia="zh-CN"/>
        </w:rPr>
        <w:t>后勤保障经费</w:t>
      </w:r>
      <w:r>
        <w:rPr>
          <w:rFonts w:hint="eastAsia" w:ascii="仿宋_GB2312" w:eastAsia="仿宋_GB2312"/>
          <w:sz w:val="32"/>
          <w:szCs w:val="32"/>
          <w:lang w:eastAsia="zh-CN"/>
        </w:rPr>
        <w:t>各项绩效指标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hAnsi="??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??" w:eastAsia="仿宋_GB2312"/>
          <w:sz w:val="32"/>
          <w:szCs w:val="32"/>
        </w:rPr>
        <w:t>提升后勤服务保障质量</w:t>
      </w:r>
      <w:r>
        <w:rPr>
          <w:rFonts w:hint="eastAsia" w:ascii="仿宋_GB2312" w:hAnsi="??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坚持围绕中心、服务大局，从严从紧抓好会务服务、采购、物业管理等工作，切实展现后勤人的担当精神。一是做好会场会务工作。为实现会议集中管理，我局认真落实会议使用单位提出使用要求，做好县中心会堂和财政五楼常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委会议室会议服务工作（茶水、音响系统设备调试、灯光等）会议茶水等方面工作，</w:t>
      </w:r>
      <w:r>
        <w:rPr>
          <w:rFonts w:hint="eastAsia" w:ascii="仿宋_GB2312" w:hAnsi="??" w:eastAsia="仿宋_GB2312" w:cs="Times New Roman"/>
          <w:sz w:val="32"/>
          <w:szCs w:val="32"/>
          <w:lang w:val="en-US" w:eastAsia="zh-CN"/>
        </w:rPr>
        <w:t>组织后勤保障服务中心工作人员协助会场布置，保障各重要会议顺利召开；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二是</w:t>
      </w:r>
      <w:r>
        <w:rPr>
          <w:rFonts w:hint="eastAsia" w:ascii="仿宋_GB2312" w:hAnsi="??" w:eastAsia="仿宋_GB2312" w:cs="Times New Roman"/>
          <w:sz w:val="32"/>
          <w:szCs w:val="32"/>
          <w:lang w:val="en-US" w:eastAsia="zh-CN"/>
        </w:rPr>
        <w:t>加强物业管理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，</w:t>
      </w:r>
      <w:r>
        <w:rPr>
          <w:rFonts w:hint="eastAsia" w:ascii="仿宋_GB2312" w:hAnsi="??" w:eastAsia="仿宋_GB2312" w:cs="Times New Roman"/>
          <w:sz w:val="32"/>
          <w:szCs w:val="32"/>
          <w:lang w:val="en-US" w:eastAsia="zh-CN"/>
        </w:rPr>
        <w:t>保障县政府大院物业服务质量，与物业公司签订物业服务定点采购合同，做好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县委县政府大院日常安保、保洁、绿化、规范停车、</w:t>
      </w:r>
      <w:r>
        <w:rPr>
          <w:rFonts w:hint="eastAsia" w:ascii="仿宋_GB2312" w:hAnsi="??" w:eastAsia="仿宋_GB2312" w:cs="Times New Roman"/>
          <w:sz w:val="32"/>
          <w:szCs w:val="32"/>
          <w:lang w:val="en-US" w:eastAsia="zh-CN"/>
        </w:rPr>
        <w:t>消防安全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等服务工作</w:t>
      </w:r>
      <w:r>
        <w:rPr>
          <w:rFonts w:hint="eastAsia" w:ascii="仿宋_GB2312" w:hAnsi="??" w:eastAsia="仿宋_GB2312" w:cs="Times New Roman"/>
          <w:sz w:val="32"/>
          <w:szCs w:val="32"/>
          <w:lang w:val="en-US" w:eastAsia="zh-CN"/>
        </w:rPr>
        <w:t>；三是持续做好各项后勤保障服务工作，按规程先后及时采购和配送了一批涉及会务、应急、大型活动等后勤物资，认真完成了格瑞德、丰收节、60周年县庆等各项后勤保障任务，充分展现了机关事务人善作善成风采。</w:t>
      </w:r>
    </w:p>
    <w:p>
      <w:pPr>
        <w:numPr>
          <w:ilvl w:val="0"/>
          <w:numId w:val="0"/>
        </w:numPr>
        <w:spacing w:line="360" w:lineRule="auto"/>
        <w:ind w:firstLine="643" w:firstLineChars="200"/>
        <w:rPr>
          <w:rFonts w:ascii="仿宋_GB2312" w:hAnsi="仿宋_GB2312" w:eastAsia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_GB2312" w:hAnsi="仿宋_GB2312" w:eastAsia="仿宋_GB2312"/>
          <w:b/>
          <w:bCs/>
          <w:sz w:val="32"/>
          <w:szCs w:val="32"/>
        </w:rPr>
        <w:t>项目资金使用效益，对环境、经济、社会的可持续影响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通过推进项目建设，圆满完成为县委、县政府的各项中心工作提供有力后勤服务保障的任务，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有效提高我县知名度，进一步优化了我县营商环境，</w:t>
      </w:r>
      <w:r>
        <w:rPr>
          <w:rFonts w:hint="eastAsia" w:ascii="仿宋_GB2312" w:hAnsi="仿宋_GB2312" w:eastAsia="仿宋_GB2312"/>
          <w:sz w:val="32"/>
          <w:szCs w:val="32"/>
        </w:rPr>
        <w:t>大大提振了我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县开展百千万工作</w:t>
      </w:r>
      <w:r>
        <w:rPr>
          <w:rFonts w:hint="eastAsia" w:ascii="仿宋_GB2312" w:hAnsi="仿宋_GB2312" w:eastAsia="仿宋_GB2312"/>
          <w:sz w:val="32"/>
          <w:szCs w:val="32"/>
        </w:rPr>
        <w:t>的信心和决心。</w:t>
      </w:r>
    </w:p>
    <w:p>
      <w:pPr>
        <w:spacing w:line="360" w:lineRule="auto"/>
        <w:ind w:firstLine="643" w:firstLineChars="200"/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/>
          <w:b/>
          <w:bCs/>
          <w:sz w:val="32"/>
          <w:szCs w:val="32"/>
          <w:lang w:eastAsia="zh-CN"/>
        </w:rPr>
        <w:t>（二）</w:t>
      </w:r>
      <w:r>
        <w:rPr>
          <w:rFonts w:hint="eastAsia" w:ascii="仿宋_GB2312" w:eastAsia="仿宋_GB2312"/>
          <w:b/>
          <w:bCs/>
          <w:sz w:val="32"/>
          <w:szCs w:val="32"/>
        </w:rPr>
        <w:t>存在问题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后勤保障经费</w:t>
      </w:r>
      <w:r>
        <w:rPr>
          <w:rFonts w:hint="eastAsia" w:ascii="仿宋_GB2312" w:eastAsia="仿宋_GB2312"/>
          <w:sz w:val="32"/>
          <w:szCs w:val="32"/>
        </w:rPr>
        <w:t>绩效目标设定</w:t>
      </w:r>
      <w:r>
        <w:rPr>
          <w:rFonts w:hint="eastAsia" w:ascii="仿宋_GB2312" w:eastAsia="仿宋_GB2312"/>
          <w:sz w:val="32"/>
          <w:szCs w:val="32"/>
          <w:lang w:eastAsia="zh-CN"/>
        </w:rPr>
        <w:t>缺乏客观标准</w:t>
      </w:r>
      <w:r>
        <w:rPr>
          <w:rFonts w:hint="eastAsia" w:ascii="仿宋_GB2312" w:eastAsia="仿宋_GB2312"/>
          <w:sz w:val="32"/>
          <w:szCs w:val="32"/>
        </w:rPr>
        <w:t>。在申报部门预算时，中心绩效目标设定指向不够明确，目标选用重点不突出，定性指标较多，定量指标较少。如由于政府采购工作的不可预见性，单位在实际运转过程中，会有一些突发事情等不可预见因素，造成业务性项目支出预算</w:t>
      </w:r>
      <w:r>
        <w:rPr>
          <w:rFonts w:hint="eastAsia" w:ascii="仿宋_GB2312" w:eastAsia="仿宋_GB2312"/>
          <w:sz w:val="32"/>
          <w:szCs w:val="32"/>
          <w:lang w:eastAsia="zh-CN"/>
        </w:rPr>
        <w:t>不够</w:t>
      </w:r>
      <w:r>
        <w:rPr>
          <w:rFonts w:hint="eastAsia" w:ascii="仿宋_GB2312" w:eastAsia="仿宋_GB2312"/>
          <w:sz w:val="32"/>
          <w:szCs w:val="32"/>
        </w:rPr>
        <w:t>精细。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项目管理制度有所欠缺，</w:t>
      </w:r>
      <w:r>
        <w:rPr>
          <w:rFonts w:hint="eastAsia" w:ascii="仿宋_GB2312" w:eastAsia="仿宋_GB2312"/>
          <w:sz w:val="32"/>
          <w:szCs w:val="32"/>
          <w:lang w:eastAsia="zh-CN"/>
        </w:rPr>
        <w:t>故各股使</w:t>
      </w:r>
      <w:r>
        <w:rPr>
          <w:rFonts w:hint="eastAsia" w:ascii="仿宋_GB2312" w:eastAsia="仿宋_GB2312"/>
          <w:sz w:val="32"/>
          <w:szCs w:val="32"/>
        </w:rPr>
        <w:t>资金分配不均匀。项目前期经费使用没有制定具体的分配依据，而是根据实际情况调整使用项目资金。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（一）进一步加强预算绩效管理。规范绩效目标编制，科学选定绩效指标，尽量多使用定量指标，合理确定指标标准，加强绩效评价工作，增强单位的支出责任，提高财政资金的使用效益。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（二）建章立制，</w:t>
      </w:r>
      <w:r>
        <w:rPr>
          <w:rFonts w:hint="eastAsia" w:ascii="仿宋_GB2312" w:eastAsia="仿宋_GB2312"/>
          <w:sz w:val="32"/>
          <w:szCs w:val="32"/>
          <w:lang w:eastAsia="zh-CN"/>
        </w:rPr>
        <w:t>各股室每月制定计划采购计划，做为分配依据。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??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5FFEF62"/>
    <w:multiLevelType w:val="singleLevel"/>
    <w:tmpl w:val="A5FFEF62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B07161A4"/>
    <w:multiLevelType w:val="singleLevel"/>
    <w:tmpl w:val="B07161A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kYjI3MDQxNTI2OTcwZWQ1ZTllNWZmYWUyYmJjNjIifQ=="/>
  </w:docVars>
  <w:rsids>
    <w:rsidRoot w:val="00F22CA7"/>
    <w:rsid w:val="00016241"/>
    <w:rsid w:val="000560B1"/>
    <w:rsid w:val="000C7708"/>
    <w:rsid w:val="000F09C5"/>
    <w:rsid w:val="00182223"/>
    <w:rsid w:val="00313C86"/>
    <w:rsid w:val="003B25CA"/>
    <w:rsid w:val="004903E7"/>
    <w:rsid w:val="004A4BD4"/>
    <w:rsid w:val="00534213"/>
    <w:rsid w:val="006F3C8D"/>
    <w:rsid w:val="006F6EA7"/>
    <w:rsid w:val="0087074D"/>
    <w:rsid w:val="00916C35"/>
    <w:rsid w:val="009C14D0"/>
    <w:rsid w:val="00DA52CB"/>
    <w:rsid w:val="00E409B6"/>
    <w:rsid w:val="00EE444F"/>
    <w:rsid w:val="00F22CA7"/>
    <w:rsid w:val="00F82A22"/>
    <w:rsid w:val="03B020F5"/>
    <w:rsid w:val="048C54B6"/>
    <w:rsid w:val="04973A53"/>
    <w:rsid w:val="04AA006F"/>
    <w:rsid w:val="05BE295E"/>
    <w:rsid w:val="07583E9D"/>
    <w:rsid w:val="088D37AA"/>
    <w:rsid w:val="090C58F2"/>
    <w:rsid w:val="09105EE9"/>
    <w:rsid w:val="0E646141"/>
    <w:rsid w:val="11580EB4"/>
    <w:rsid w:val="13F52854"/>
    <w:rsid w:val="16151DCE"/>
    <w:rsid w:val="179E7A8C"/>
    <w:rsid w:val="187C3A22"/>
    <w:rsid w:val="19E11A4C"/>
    <w:rsid w:val="1BEA0FB0"/>
    <w:rsid w:val="1FE73A06"/>
    <w:rsid w:val="208E160B"/>
    <w:rsid w:val="22DF4AF7"/>
    <w:rsid w:val="237C4C1C"/>
    <w:rsid w:val="25665553"/>
    <w:rsid w:val="26F52506"/>
    <w:rsid w:val="2A0C3112"/>
    <w:rsid w:val="2B6F2333"/>
    <w:rsid w:val="2BB533C1"/>
    <w:rsid w:val="2C2B0BC8"/>
    <w:rsid w:val="2C417C31"/>
    <w:rsid w:val="2D9B2143"/>
    <w:rsid w:val="31B14272"/>
    <w:rsid w:val="33AD65A7"/>
    <w:rsid w:val="355D47B7"/>
    <w:rsid w:val="36AF4448"/>
    <w:rsid w:val="391B70C6"/>
    <w:rsid w:val="39921607"/>
    <w:rsid w:val="3EFE689F"/>
    <w:rsid w:val="41410283"/>
    <w:rsid w:val="42F11952"/>
    <w:rsid w:val="43FA6E4E"/>
    <w:rsid w:val="44942A12"/>
    <w:rsid w:val="44E7272E"/>
    <w:rsid w:val="468762A1"/>
    <w:rsid w:val="49460157"/>
    <w:rsid w:val="5375086E"/>
    <w:rsid w:val="550D2DBE"/>
    <w:rsid w:val="557650C0"/>
    <w:rsid w:val="57897AEF"/>
    <w:rsid w:val="59A076B8"/>
    <w:rsid w:val="5DA652F6"/>
    <w:rsid w:val="5FD7988B"/>
    <w:rsid w:val="6016488F"/>
    <w:rsid w:val="61050B4B"/>
    <w:rsid w:val="62067C5F"/>
    <w:rsid w:val="6424780A"/>
    <w:rsid w:val="673E766B"/>
    <w:rsid w:val="67C566F4"/>
    <w:rsid w:val="680E60DA"/>
    <w:rsid w:val="681249ED"/>
    <w:rsid w:val="69E63EF6"/>
    <w:rsid w:val="6BD13F79"/>
    <w:rsid w:val="6E623FDB"/>
    <w:rsid w:val="6E822797"/>
    <w:rsid w:val="6F3C790C"/>
    <w:rsid w:val="726E48EC"/>
    <w:rsid w:val="73FC0AB9"/>
    <w:rsid w:val="75BF4A1A"/>
    <w:rsid w:val="7C3D4464"/>
    <w:rsid w:val="7E1A1F87"/>
    <w:rsid w:val="7E7B7CBA"/>
    <w:rsid w:val="7F8F1D58"/>
    <w:rsid w:val="7FCF6752"/>
    <w:rsid w:val="DFFFAAFD"/>
    <w:rsid w:val="E7D8C2DF"/>
    <w:rsid w:val="FBE97096"/>
    <w:rsid w:val="FF1F8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 Text First Indent 21"/>
    <w:basedOn w:val="3"/>
    <w:autoRedefine/>
    <w:qFormat/>
    <w:uiPriority w:val="0"/>
    <w:pPr>
      <w:ind w:firstLine="480"/>
    </w:pPr>
  </w:style>
  <w:style w:type="paragraph" w:customStyle="1" w:styleId="3">
    <w:name w:val="Normal Indent1"/>
    <w:basedOn w:val="1"/>
    <w:autoRedefine/>
    <w:qFormat/>
    <w:uiPriority w:val="0"/>
    <w:pPr>
      <w:spacing w:line="360" w:lineRule="auto"/>
      <w:ind w:firstLine="200" w:firstLineChars="200"/>
    </w:pPr>
    <w:rPr>
      <w:rFonts w:cs="宋体"/>
      <w:sz w:val="24"/>
    </w:rPr>
  </w:style>
  <w:style w:type="paragraph" w:styleId="4">
    <w:name w:val="footer"/>
    <w:basedOn w:val="1"/>
    <w:link w:val="9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"/>
    <w:basedOn w:val="7"/>
    <w:link w:val="4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14</Pages>
  <Words>6463</Words>
  <Characters>6679</Characters>
  <Lines>50</Lines>
  <Paragraphs>14</Paragraphs>
  <TotalTime>0</TotalTime>
  <ScaleCrop>false</ScaleCrop>
  <LinksUpToDate>false</LinksUpToDate>
  <CharactersWithSpaces>6691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2016-12-02T23:04:00Z</dcterms:created>
  <dc:creator>lenovo</dc:creator>
  <cp:lastModifiedBy>包黑小王纸最爱小公举</cp:lastModifiedBy>
  <cp:lastPrinted>2018-10-26T18:57:00Z</cp:lastPrinted>
  <dcterms:modified xsi:type="dcterms:W3CDTF">2024-04-10T09:47:33Z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0CCA3D8202E3434B8EFEE213029C9EA9_12</vt:lpwstr>
  </property>
</Properties>
</file>