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ascii="宋体" w:hAnsi="宋体"/>
          <w:b/>
          <w:sz w:val="36"/>
          <w:szCs w:val="36"/>
        </w:rPr>
      </w:pPr>
      <w:r>
        <w:rPr>
          <w:rFonts w:hint="eastAsia" w:ascii="宋体" w:hAnsi="宋体"/>
          <w:b/>
          <w:sz w:val="36"/>
          <w:szCs w:val="36"/>
        </w:rPr>
        <w:t>财政支出项目绩效自评报告（</w:t>
      </w:r>
      <w:r>
        <w:rPr>
          <w:rFonts w:hint="eastAsia" w:ascii="宋体" w:hAnsi="宋体"/>
          <w:b/>
          <w:sz w:val="36"/>
          <w:szCs w:val="36"/>
          <w:lang w:eastAsia="zh-CN"/>
        </w:rPr>
        <w:t>党建活动经费</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（一）项目用款单位简要情况</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乳源瑶族自治县机关事务管理局为县委、县政府直属参照公务员法管理事业单位，正科级。</w:t>
      </w:r>
    </w:p>
    <w:p>
      <w:pPr>
        <w:ind w:firstLine="640" w:firstLineChars="200"/>
        <w:jc w:val="left"/>
        <w:rPr>
          <w:rFonts w:ascii="仿宋_GB2312" w:eastAsia="仿宋_GB2312"/>
          <w:sz w:val="32"/>
          <w:szCs w:val="32"/>
        </w:rPr>
      </w:pPr>
      <w:r>
        <w:rPr>
          <w:rFonts w:hint="eastAsia" w:ascii="仿宋_GB2312" w:hAnsi="仿宋_GB2312" w:eastAsia="仿宋_GB2312" w:cs="仿宋_GB2312"/>
          <w:sz w:val="32"/>
          <w:szCs w:val="32"/>
        </w:rPr>
        <w:t>设6个正股级内设机构：综合股、接待股、资产管理股、公车管理股、计划财务股和服务保障股。</w:t>
      </w:r>
    </w:p>
    <w:p>
      <w:pPr>
        <w:numPr>
          <w:ilvl w:val="0"/>
          <w:numId w:val="1"/>
        </w:num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项目实施主要内容及实施程序</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项目实施主要内容：深入学习习近平新时代中国特色社会主义思想和党的二十大报告的核心要义，扎实开展党史教育、党规党纪教育、革命传统教育、形势政策教育，组织开展“三会一课”、主题党日活动，组织党员开展社区报到、周五清洁日清扫、节日慰问困难群众、网格入户宣传创文和疫情防控等活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实施程序：</w:t>
      </w:r>
    </w:p>
    <w:p>
      <w:pPr>
        <w:numPr>
          <w:ilvl w:val="0"/>
          <w:numId w:val="2"/>
        </w:numPr>
        <w:spacing w:line="360" w:lineRule="auto"/>
        <w:ind w:firstLine="640" w:firstLineChars="200"/>
        <w:rPr>
          <w:rFonts w:ascii="仿宋_GB2312" w:eastAsia="仿宋_GB2312"/>
          <w:sz w:val="32"/>
          <w:szCs w:val="32"/>
        </w:rPr>
      </w:pPr>
      <w:r>
        <w:rPr>
          <w:rFonts w:hint="eastAsia" w:ascii="仿宋_GB2312" w:eastAsia="仿宋_GB2312"/>
          <w:sz w:val="32"/>
          <w:szCs w:val="32"/>
        </w:rPr>
        <w:t>认真落实学习制度，</w:t>
      </w:r>
      <w:r>
        <w:rPr>
          <w:rFonts w:hint="eastAsia" w:ascii="仿宋_GB2312" w:hAnsi="仿宋_GB2312" w:eastAsia="仿宋_GB2312" w:cs="仿宋_GB2312"/>
          <w:sz w:val="32"/>
          <w:szCs w:val="32"/>
        </w:rPr>
        <w:t>结合党史学习教育相关内容，认真组织领导班子成员、全体党员和干部职工通过多种形式学习习近平新时代中国特色社会主义思想、习近平总书记重要讲话重要指示批示精神、</w:t>
      </w:r>
      <w:r>
        <w:rPr>
          <w:rFonts w:hint="eastAsia" w:ascii="仿宋_GB2312" w:eastAsia="仿宋_GB2312"/>
          <w:sz w:val="32"/>
          <w:szCs w:val="32"/>
        </w:rPr>
        <w:t>党的二十大报告的核心要义，力促学习教育常态化；</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（2）在抓好班子，带好队伍的前提下，以“能干事、干成事”为导向，充分发挥党员在各项工作中的先锋模范作用，使我局的各项工作顺利推进；</w:t>
      </w:r>
    </w:p>
    <w:p>
      <w:pPr>
        <w:spacing w:line="360" w:lineRule="auto"/>
        <w:ind w:firstLine="640" w:firstLineChars="200"/>
        <w:rPr>
          <w:rFonts w:ascii="楷体" w:hAnsi="楷体" w:eastAsia="仿宋_GB2312" w:cs="楷体"/>
          <w:sz w:val="32"/>
          <w:szCs w:val="32"/>
        </w:rPr>
      </w:pPr>
      <w:r>
        <w:rPr>
          <w:rFonts w:hint="eastAsia" w:ascii="仿宋_GB2312" w:eastAsia="仿宋_GB2312"/>
          <w:sz w:val="32"/>
          <w:szCs w:val="32"/>
        </w:rPr>
        <w:t>（3）坚持以提高总揽全局能力、科学决策能力、求实创新能力为重点，切实加强领导班子能力建设。</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（三）综述项目自评等级和分数，并对照佐证材料逐一分析</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我局高度重视财政支出项目绩效自评工作，由单位分管领导主持制定《</w:t>
      </w:r>
      <w:r>
        <w:rPr>
          <w:rFonts w:hint="eastAsia" w:ascii="仿宋_GB2312" w:eastAsia="仿宋_GB2312"/>
          <w:sz w:val="32"/>
          <w:szCs w:val="32"/>
          <w:lang w:eastAsia="zh-CN"/>
        </w:rPr>
        <w:t>财政</w:t>
      </w:r>
      <w:r>
        <w:rPr>
          <w:rFonts w:hint="eastAsia" w:ascii="仿宋_GB2312" w:eastAsia="仿宋_GB2312"/>
          <w:sz w:val="32"/>
          <w:szCs w:val="32"/>
        </w:rPr>
        <w:t>项目支出绩效自评工作方案》，成立</w:t>
      </w:r>
      <w:r>
        <w:rPr>
          <w:rFonts w:hint="eastAsia" w:ascii="仿宋_GB2312" w:eastAsia="仿宋_GB2312"/>
          <w:sz w:val="32"/>
          <w:szCs w:val="32"/>
          <w:lang w:eastAsia="zh-CN"/>
        </w:rPr>
        <w:t>以局长为组长、各主管项目的业务股负责人为组员的</w:t>
      </w:r>
      <w:r>
        <w:rPr>
          <w:rFonts w:hint="eastAsia" w:ascii="仿宋_GB2312" w:eastAsia="仿宋_GB2312"/>
          <w:sz w:val="32"/>
          <w:szCs w:val="32"/>
        </w:rPr>
        <w:t>绩效自评工作领导小组，明确了领导小组各组成成员的职责及分工，形成相互制约、相互监督的工作机制，认真开展项目支出绩效自评工作。</w:t>
      </w:r>
    </w:p>
    <w:p>
      <w:pPr>
        <w:spacing w:line="360" w:lineRule="auto"/>
        <w:ind w:firstLine="640" w:firstLineChars="200"/>
        <w:rPr>
          <w:rFonts w:ascii="仿宋_GB2312" w:eastAsia="仿宋_GB2312"/>
          <w:sz w:val="32"/>
          <w:szCs w:val="32"/>
        </w:rPr>
      </w:pPr>
      <w:r>
        <w:rPr>
          <w:rFonts w:hint="eastAsia" w:ascii="仿宋_GB2312" w:eastAsia="仿宋_GB2312"/>
          <w:sz w:val="32"/>
          <w:szCs w:val="32"/>
          <w:lang w:eastAsia="zh-CN"/>
        </w:rPr>
        <w:t>党建活动经费</w:t>
      </w:r>
      <w:r>
        <w:rPr>
          <w:rFonts w:hint="eastAsia" w:ascii="仿宋_GB2312" w:eastAsia="仿宋_GB2312"/>
          <w:sz w:val="32"/>
          <w:szCs w:val="32"/>
        </w:rPr>
        <w:t>通过审查机关事务局党建工作台账</w:t>
      </w:r>
      <w:r>
        <w:rPr>
          <w:rFonts w:hint="eastAsia" w:ascii="仿宋_GB2312" w:eastAsia="仿宋_GB2312"/>
          <w:sz w:val="32"/>
          <w:szCs w:val="32"/>
          <w:lang w:eastAsia="zh-CN"/>
        </w:rPr>
        <w:t>、经费批复文件、</w:t>
      </w:r>
      <w:r>
        <w:rPr>
          <w:rFonts w:hint="eastAsia" w:ascii="仿宋_GB2312" w:eastAsia="仿宋_GB2312"/>
          <w:sz w:val="32"/>
          <w:szCs w:val="32"/>
        </w:rPr>
        <w:t>党建活动经费支出明细账、记账凭证、原始凭证</w:t>
      </w:r>
      <w:r>
        <w:rPr>
          <w:rFonts w:hint="eastAsia" w:ascii="仿宋_GB2312" w:eastAsia="仿宋_GB2312"/>
          <w:sz w:val="32"/>
          <w:szCs w:val="32"/>
          <w:lang w:eastAsia="zh-CN"/>
        </w:rPr>
        <w:t>等，</w:t>
      </w:r>
      <w:r>
        <w:rPr>
          <w:rFonts w:hint="eastAsia" w:ascii="仿宋_GB2312" w:eastAsia="仿宋_GB2312"/>
          <w:sz w:val="32"/>
          <w:szCs w:val="32"/>
        </w:rPr>
        <w:t>认真对照财政专项资金绩效评价指标体系，对项目完成情况进行了全方位自查和自评打</w:t>
      </w:r>
      <w:bookmarkStart w:id="0" w:name="_GoBack"/>
      <w:bookmarkEnd w:id="0"/>
      <w:r>
        <w:rPr>
          <w:rFonts w:hint="eastAsia" w:ascii="仿宋_GB2312" w:eastAsia="仿宋_GB2312"/>
          <w:sz w:val="32"/>
          <w:szCs w:val="32"/>
        </w:rPr>
        <w:t>分</w:t>
      </w:r>
      <w:r>
        <w:rPr>
          <w:rFonts w:hint="eastAsia" w:ascii="仿宋_GB2312" w:eastAsia="仿宋_GB2312"/>
          <w:sz w:val="32"/>
          <w:szCs w:val="32"/>
          <w:lang w:eastAsia="zh-CN"/>
        </w:rPr>
        <w:t>，党建活动经费绩效自评综合等级为优，</w:t>
      </w:r>
      <w:r>
        <w:rPr>
          <w:rFonts w:hint="eastAsia" w:ascii="仿宋_GB2312" w:eastAsia="仿宋_GB2312"/>
          <w:sz w:val="32"/>
          <w:szCs w:val="32"/>
          <w:lang w:eastAsia="zh-CN"/>
        </w:rPr>
        <w:t>得分为</w:t>
      </w:r>
      <w:r>
        <w:rPr>
          <w:rFonts w:hint="eastAsia" w:ascii="仿宋_GB2312" w:eastAsia="仿宋_GB2312"/>
          <w:sz w:val="32"/>
          <w:szCs w:val="32"/>
          <w:lang w:val="en-US" w:eastAsia="zh-CN"/>
        </w:rPr>
        <w:t>100分。</w:t>
      </w:r>
      <w:r>
        <w:rPr>
          <w:rFonts w:hint="eastAsia" w:ascii="仿宋_GB2312" w:eastAsia="仿宋_GB2312"/>
          <w:sz w:val="32"/>
          <w:szCs w:val="32"/>
        </w:rPr>
        <w:t>通过绩效自评，进一步规范财政资金规划管理，强化部门责任意识，提高财政资金使用效益。</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3" w:firstLineChars="200"/>
        <w:rPr>
          <w:rFonts w:ascii="仿宋_GB2312" w:eastAsia="仿宋_GB2312"/>
          <w:b/>
          <w:bCs/>
          <w:sz w:val="32"/>
          <w:szCs w:val="32"/>
        </w:rPr>
      </w:pPr>
      <w:r>
        <w:rPr>
          <w:rFonts w:hint="eastAsia" w:ascii="仿宋_GB2312" w:eastAsia="仿宋_GB2312"/>
          <w:b/>
          <w:bCs/>
          <w:sz w:val="32"/>
          <w:szCs w:val="32"/>
        </w:rPr>
        <w:t>（一）资金使用绩效。</w:t>
      </w:r>
    </w:p>
    <w:p>
      <w:pPr>
        <w:spacing w:line="360" w:lineRule="auto"/>
        <w:ind w:firstLine="643" w:firstLineChars="200"/>
        <w:rPr>
          <w:rFonts w:ascii="仿宋_GB2312" w:hAnsi="仿宋_GB2312" w:eastAsia="仿宋_GB2312"/>
          <w:b/>
          <w:bCs/>
          <w:sz w:val="32"/>
          <w:szCs w:val="32"/>
        </w:rPr>
      </w:pPr>
      <w:r>
        <w:rPr>
          <w:rFonts w:hint="eastAsia" w:ascii="仿宋_GB2312" w:hAnsi="仿宋_GB2312" w:eastAsia="仿宋_GB2312"/>
          <w:b/>
          <w:bCs/>
          <w:sz w:val="32"/>
          <w:szCs w:val="32"/>
        </w:rPr>
        <w:t>1、项目资金实际总投入情况</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年度</w:t>
      </w:r>
      <w:r>
        <w:rPr>
          <w:rFonts w:hint="eastAsia" w:ascii="仿宋_GB2312" w:hAnsi="仿宋_GB2312" w:eastAsia="仿宋_GB2312"/>
          <w:sz w:val="32"/>
          <w:szCs w:val="32"/>
          <w:lang w:eastAsia="zh-CN"/>
        </w:rPr>
        <w:t>党建活动经费</w:t>
      </w:r>
      <w:r>
        <w:rPr>
          <w:rFonts w:hint="eastAsia" w:ascii="仿宋_GB2312" w:hAnsi="仿宋_GB2312" w:eastAsia="仿宋_GB2312"/>
          <w:sz w:val="32"/>
          <w:szCs w:val="32"/>
        </w:rPr>
        <w:t>项目资金安排总额共计</w:t>
      </w:r>
      <w:r>
        <w:rPr>
          <w:rFonts w:hint="eastAsia" w:ascii="仿宋_GB2312" w:hAnsi="仿宋_GB2312" w:eastAsia="仿宋_GB2312"/>
          <w:sz w:val="32"/>
          <w:szCs w:val="32"/>
          <w:lang w:val="en-US" w:eastAsia="zh-CN"/>
        </w:rPr>
        <w:t>1</w:t>
      </w:r>
      <w:r>
        <w:rPr>
          <w:rFonts w:hint="eastAsia" w:ascii="仿宋_GB2312" w:hAnsi="仿宋_GB2312" w:eastAsia="仿宋_GB2312"/>
          <w:sz w:val="32"/>
          <w:szCs w:val="32"/>
        </w:rPr>
        <w:t>万元。我局按照年初项目工作计划，控制项目成本，较好地完成了各项工作任务。</w:t>
      </w:r>
    </w:p>
    <w:p>
      <w:pPr>
        <w:numPr>
          <w:ilvl w:val="0"/>
          <w:numId w:val="0"/>
        </w:numPr>
        <w:spacing w:line="360" w:lineRule="auto"/>
        <w:ind w:firstLine="643" w:firstLineChars="200"/>
        <w:rPr>
          <w:rFonts w:ascii="仿宋_GB2312" w:hAnsi="仿宋_GB2312" w:eastAsia="仿宋_GB2312"/>
          <w:b/>
          <w:bCs/>
          <w:sz w:val="32"/>
          <w:szCs w:val="32"/>
        </w:rPr>
      </w:pPr>
      <w:r>
        <w:rPr>
          <w:rFonts w:hint="eastAsia" w:ascii="仿宋_GB2312" w:hAnsi="仿宋_GB2312" w:eastAsia="仿宋_GB2312"/>
          <w:b/>
          <w:bCs/>
          <w:sz w:val="32"/>
          <w:szCs w:val="32"/>
          <w:lang w:val="en-US" w:eastAsia="zh-CN"/>
        </w:rPr>
        <w:t>2、</w:t>
      </w:r>
      <w:r>
        <w:rPr>
          <w:rFonts w:hint="eastAsia" w:ascii="仿宋_GB2312" w:hAnsi="仿宋_GB2312" w:eastAsia="仿宋_GB2312"/>
          <w:b/>
          <w:bCs/>
          <w:sz w:val="32"/>
          <w:szCs w:val="32"/>
        </w:rPr>
        <w:t>项目资金实际支出情况，具体详细说明</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项目资金严格按照项目进度进行支付，支出共计</w:t>
      </w:r>
      <w:r>
        <w:rPr>
          <w:rFonts w:hint="eastAsia" w:ascii="仿宋_GB2312" w:hAnsi="仿宋_GB2312" w:eastAsia="仿宋_GB2312"/>
          <w:sz w:val="32"/>
          <w:szCs w:val="32"/>
          <w:lang w:val="en-US" w:eastAsia="zh-CN"/>
        </w:rPr>
        <w:t>1</w:t>
      </w:r>
      <w:r>
        <w:rPr>
          <w:rFonts w:hint="eastAsia" w:ascii="仿宋_GB2312" w:hAnsi="仿宋_GB2312" w:eastAsia="仿宋_GB2312"/>
          <w:sz w:val="32"/>
          <w:szCs w:val="32"/>
        </w:rPr>
        <w:t>万元，年末资金使用达到</w:t>
      </w:r>
      <w:r>
        <w:rPr>
          <w:rFonts w:hint="eastAsia" w:ascii="仿宋_GB2312" w:hAnsi="仿宋_GB2312" w:eastAsia="仿宋_GB2312"/>
          <w:sz w:val="32"/>
          <w:szCs w:val="32"/>
          <w:lang w:val="en-US" w:eastAsia="zh-CN"/>
        </w:rPr>
        <w:t>100%</w:t>
      </w:r>
      <w:r>
        <w:rPr>
          <w:rFonts w:hint="eastAsia" w:ascii="仿宋_GB2312" w:hAnsi="仿宋_GB2312" w:eastAsia="仿宋_GB2312"/>
          <w:sz w:val="32"/>
          <w:szCs w:val="32"/>
        </w:rPr>
        <w:t>，不存在重复支付。</w:t>
      </w:r>
    </w:p>
    <w:p>
      <w:pPr>
        <w:numPr>
          <w:ilvl w:val="0"/>
          <w:numId w:val="0"/>
        </w:numPr>
        <w:spacing w:line="360" w:lineRule="auto"/>
        <w:ind w:firstLine="643" w:firstLineChars="200"/>
        <w:rPr>
          <w:rFonts w:ascii="仿宋_GB2312" w:hAnsi="仿宋_GB2312" w:eastAsia="仿宋_GB2312"/>
          <w:b/>
          <w:bCs/>
          <w:sz w:val="32"/>
          <w:szCs w:val="32"/>
        </w:rPr>
      </w:pPr>
      <w:r>
        <w:rPr>
          <w:rFonts w:hint="eastAsia" w:ascii="仿宋_GB2312" w:hAnsi="仿宋_GB2312" w:eastAsia="仿宋_GB2312"/>
          <w:b/>
          <w:bCs/>
          <w:sz w:val="32"/>
          <w:szCs w:val="32"/>
          <w:lang w:val="en-US" w:eastAsia="zh-CN"/>
        </w:rPr>
        <w:t>3、</w:t>
      </w:r>
      <w:r>
        <w:rPr>
          <w:rFonts w:hint="eastAsia" w:ascii="仿宋_GB2312" w:hAnsi="仿宋_GB2312" w:eastAsia="仿宋_GB2312"/>
          <w:b/>
          <w:bCs/>
          <w:sz w:val="32"/>
          <w:szCs w:val="32"/>
        </w:rPr>
        <w:t>项目的绩效目标完成情况（经济、政治和社会效益）</w:t>
      </w:r>
    </w:p>
    <w:p>
      <w:pPr>
        <w:spacing w:line="360" w:lineRule="auto"/>
        <w:ind w:firstLine="648" w:firstLineChars="200"/>
        <w:rPr>
          <w:rFonts w:ascii="仿宋_GB2312" w:eastAsia="仿宋_GB2312"/>
          <w:sz w:val="32"/>
          <w:szCs w:val="32"/>
        </w:rPr>
      </w:pPr>
      <w:r>
        <w:rPr>
          <w:rFonts w:hint="eastAsia" w:ascii="仿宋_GB2312" w:eastAsia="仿宋_GB2312"/>
          <w:spacing w:val="2"/>
          <w:kern w:val="10"/>
          <w:position w:val="2"/>
          <w:sz w:val="32"/>
          <w:szCs w:val="32"/>
        </w:rPr>
        <w:t>202</w:t>
      </w:r>
      <w:r>
        <w:rPr>
          <w:rFonts w:hint="eastAsia" w:ascii="仿宋_GB2312" w:eastAsia="仿宋_GB2312"/>
          <w:spacing w:val="2"/>
          <w:kern w:val="10"/>
          <w:position w:val="2"/>
          <w:sz w:val="32"/>
          <w:szCs w:val="32"/>
          <w:lang w:val="en-US" w:eastAsia="zh-CN"/>
        </w:rPr>
        <w:t>3</w:t>
      </w:r>
      <w:r>
        <w:rPr>
          <w:rFonts w:hint="eastAsia" w:ascii="仿宋_GB2312" w:eastAsia="仿宋_GB2312"/>
          <w:spacing w:val="2"/>
          <w:kern w:val="10"/>
          <w:position w:val="2"/>
          <w:sz w:val="32"/>
          <w:szCs w:val="32"/>
        </w:rPr>
        <w:t>年，我局紧紧围绕</w:t>
      </w:r>
      <w:r>
        <w:rPr>
          <w:rFonts w:hint="eastAsia" w:ascii="仿宋_GB2312" w:eastAsia="仿宋_GB2312" w:cs="Tahoma"/>
          <w:spacing w:val="2"/>
          <w:kern w:val="10"/>
          <w:position w:val="2"/>
          <w:sz w:val="32"/>
          <w:szCs w:val="32"/>
        </w:rPr>
        <w:t>县委、县政府的各项中心工作，在平凡的工作中，牢牢</w:t>
      </w:r>
      <w:r>
        <w:rPr>
          <w:rFonts w:hint="eastAsia" w:ascii="仿宋_GB2312" w:hAnsi="??" w:eastAsia="仿宋_GB2312"/>
          <w:sz w:val="32"/>
          <w:szCs w:val="32"/>
        </w:rPr>
        <w:t>抓住“做好服务工作”这一主线，坚持务实创新、扎实工作，在</w:t>
      </w:r>
      <w:r>
        <w:rPr>
          <w:rFonts w:hint="eastAsia" w:ascii="仿宋_GB2312" w:hAnsi="??" w:eastAsia="仿宋_GB2312"/>
          <w:sz w:val="32"/>
          <w:szCs w:val="32"/>
          <w:lang w:eastAsia="zh-CN"/>
        </w:rPr>
        <w:t>公务</w:t>
      </w:r>
      <w:r>
        <w:rPr>
          <w:rFonts w:hint="eastAsia" w:ascii="仿宋_GB2312" w:hAnsi="??" w:eastAsia="仿宋_GB2312"/>
          <w:sz w:val="32"/>
          <w:szCs w:val="32"/>
        </w:rPr>
        <w:t>接待、公车管理、资产管理和</w:t>
      </w:r>
      <w:r>
        <w:rPr>
          <w:rFonts w:hint="eastAsia" w:ascii="仿宋_GB2312" w:eastAsia="仿宋_GB2312"/>
          <w:sz w:val="32"/>
          <w:szCs w:val="32"/>
        </w:rPr>
        <w:t>县级</w:t>
      </w:r>
      <w:r>
        <w:rPr>
          <w:rFonts w:hint="eastAsia" w:ascii="仿宋_GB2312" w:eastAsia="仿宋_GB2312"/>
          <w:sz w:val="32"/>
          <w:szCs w:val="32"/>
          <w:lang w:eastAsia="zh-CN"/>
        </w:rPr>
        <w:t>大型会议、</w:t>
      </w:r>
      <w:r>
        <w:rPr>
          <w:rFonts w:hint="eastAsia" w:ascii="仿宋_GB2312" w:eastAsia="仿宋_GB2312"/>
          <w:sz w:val="32"/>
          <w:szCs w:val="32"/>
        </w:rPr>
        <w:t>重大活动和应急处置工作中</w:t>
      </w:r>
      <w:r>
        <w:rPr>
          <w:rFonts w:hint="eastAsia" w:ascii="仿宋_GB2312" w:hAnsi="??" w:eastAsia="仿宋_GB2312"/>
          <w:sz w:val="32"/>
          <w:szCs w:val="32"/>
        </w:rPr>
        <w:t>，</w:t>
      </w:r>
      <w:r>
        <w:rPr>
          <w:rFonts w:hint="eastAsia" w:ascii="仿宋_GB2312" w:eastAsia="仿宋_GB2312"/>
          <w:sz w:val="32"/>
          <w:szCs w:val="32"/>
        </w:rPr>
        <w:t>较好地完成了各项工作任务。</w:t>
      </w:r>
    </w:p>
    <w:p>
      <w:pPr>
        <w:keepNext w:val="0"/>
        <w:keepLines w:val="0"/>
        <w:pageBreakBefore w:val="0"/>
        <w:widowControl w:val="0"/>
        <w:numPr>
          <w:ilvl w:val="0"/>
          <w:numId w:val="0"/>
        </w:numPr>
        <w:kinsoku/>
        <w:wordWrap/>
        <w:overflowPunct/>
        <w:topLinePunct w:val="0"/>
        <w:autoSpaceDE/>
        <w:autoSpaceDN/>
        <w:bidi w:val="0"/>
        <w:snapToGrid w:val="0"/>
        <w:spacing w:line="600" w:lineRule="exact"/>
        <w:ind w:firstLine="640" w:firstLineChars="200"/>
        <w:textAlignment w:val="auto"/>
        <w:rPr>
          <w:rFonts w:hint="eastAsia" w:ascii="仿宋_GB2312" w:hAnsi="??" w:eastAsia="仿宋_GB2312" w:cs="Times New Roman"/>
          <w:sz w:val="32"/>
          <w:szCs w:val="32"/>
        </w:rPr>
      </w:pPr>
      <w:r>
        <w:rPr>
          <w:rFonts w:hint="eastAsia" w:ascii="楷体_GB2312" w:hAnsi="楷体_GB2312" w:eastAsia="楷体_GB2312" w:cs="楷体_GB2312"/>
          <w:color w:val="auto"/>
          <w:sz w:val="32"/>
          <w:szCs w:val="32"/>
          <w:highlight w:val="none"/>
          <w:lang w:val="en-US" w:eastAsia="zh-CN"/>
        </w:rPr>
        <w:t>强基固本，努力加强机关自身建设。</w:t>
      </w:r>
      <w:r>
        <w:rPr>
          <w:rFonts w:hint="eastAsia" w:ascii="仿宋_GB2312" w:hAnsi="仿宋_GB2312" w:eastAsia="仿宋_GB2312" w:cs="仿宋_GB2312"/>
          <w:sz w:val="32"/>
          <w:szCs w:val="32"/>
          <w:lang w:val="en-US" w:eastAsia="zh-CN"/>
        </w:rPr>
        <w:t>一是加强机关思想政治建设。聚焦工作实际，将学习贯彻习近平新时代中国特色社会主义思想、党的二十大精神、全国两会精神、习近平总书记视察广东重要讲话精神等纳入第一议题、三会一课、双周讲坛等学习，做好主题教育工作。据统计，全年组织学习累计</w:t>
      </w:r>
      <w:r>
        <w:rPr>
          <w:rFonts w:hint="eastAsia" w:ascii="仿宋_GB2312" w:hAnsi="仿宋_GB2312" w:eastAsia="仿宋_GB2312" w:cs="仿宋_GB2312"/>
          <w:sz w:val="32"/>
          <w:szCs w:val="32"/>
          <w:highlight w:val="none"/>
          <w:lang w:val="en-US" w:eastAsia="zh-CN"/>
        </w:rPr>
        <w:t>60</w:t>
      </w:r>
      <w:r>
        <w:rPr>
          <w:rFonts w:hint="eastAsia" w:ascii="仿宋_GB2312" w:hAnsi="仿宋_GB2312" w:eastAsia="仿宋_GB2312" w:cs="仿宋_GB2312"/>
          <w:color w:val="auto"/>
          <w:sz w:val="32"/>
          <w:szCs w:val="32"/>
          <w:highlight w:val="none"/>
          <w:lang w:val="en-US" w:eastAsia="zh-CN"/>
        </w:rPr>
        <w:t>余次</w:t>
      </w:r>
      <w:r>
        <w:rPr>
          <w:rFonts w:hint="eastAsia" w:ascii="仿宋_GB2312" w:hAnsi="仿宋_GB2312" w:eastAsia="仿宋_GB2312" w:cs="仿宋_GB2312"/>
          <w:color w:val="auto"/>
          <w:sz w:val="32"/>
          <w:szCs w:val="32"/>
          <w:lang w:val="en-US" w:eastAsia="zh-CN"/>
        </w:rPr>
        <w:t>。二是开展各类教育活动，发挥学习效果。深入开展党性教育、纪律教育、安全教育和保密教育等，引导全体党员、干部职工坚定信仰信念，增强政治定力和拒腐防变能力，严守</w:t>
      </w:r>
      <w:r>
        <w:rPr>
          <w:rFonts w:hint="eastAsia" w:ascii="仿宋_GB2312" w:hAnsi="仿宋_GB2312" w:eastAsia="仿宋_GB2312" w:cs="仿宋_GB2312"/>
          <w:sz w:val="32"/>
          <w:szCs w:val="32"/>
          <w:lang w:val="en-US" w:eastAsia="zh-CN"/>
        </w:rPr>
        <w:t>政治纪律和政治规矩，牢固</w:t>
      </w:r>
      <w:r>
        <w:rPr>
          <w:rFonts w:hint="eastAsia" w:ascii="仿宋_GB2312" w:hAnsi="仿宋_GB2312" w:eastAsia="仿宋_GB2312" w:cs="仿宋_GB2312"/>
          <w:sz w:val="28"/>
          <w:szCs w:val="28"/>
          <w:vertAlign w:val="baseline"/>
          <w:lang w:val="en-US" w:eastAsia="zh-CN"/>
        </w:rPr>
        <w:t>树牢“四个意识”，坚定“四个自信”， 做到“两个维护”</w:t>
      </w:r>
      <w:r>
        <w:rPr>
          <w:rFonts w:hint="eastAsia" w:ascii="仿宋_GB2312" w:hAnsi="仿宋_GB2312" w:eastAsia="仿宋_GB2312" w:cs="仿宋_GB2312"/>
          <w:sz w:val="32"/>
          <w:szCs w:val="32"/>
          <w:lang w:val="en-US" w:eastAsia="zh-CN"/>
        </w:rPr>
        <w:t>，有效规范了日常管理。三是依规依程提拔使用干部</w:t>
      </w:r>
      <w:r>
        <w:rPr>
          <w:rFonts w:hint="eastAsia" w:ascii="仿宋_GB2312" w:hAnsi="仿宋_GB2312" w:eastAsia="仿宋_GB2312" w:cs="仿宋_GB2312"/>
          <w:color w:val="auto"/>
          <w:sz w:val="32"/>
          <w:szCs w:val="32"/>
          <w:lang w:val="en-US" w:eastAsia="zh-CN"/>
        </w:rPr>
        <w:t>。2023年提拔股级年轻干部一名，晋升事业单位管理岗位八级职员2名，坚持正确选人用人导向，严格落实干</w:t>
      </w:r>
      <w:r>
        <w:rPr>
          <w:rFonts w:hint="eastAsia" w:ascii="仿宋_GB2312" w:hAnsi="仿宋_GB2312" w:eastAsia="仿宋_GB2312" w:cs="仿宋_GB2312"/>
          <w:sz w:val="32"/>
          <w:szCs w:val="32"/>
          <w:lang w:val="en-US" w:eastAsia="zh-CN"/>
        </w:rPr>
        <w:t>部选拔规定，营造干事创业氛围。</w:t>
      </w:r>
    </w:p>
    <w:p>
      <w:pPr>
        <w:numPr>
          <w:ilvl w:val="0"/>
          <w:numId w:val="0"/>
        </w:numPr>
        <w:spacing w:line="360" w:lineRule="auto"/>
        <w:ind w:firstLine="643" w:firstLineChars="200"/>
        <w:rPr>
          <w:rFonts w:ascii="仿宋_GB2312" w:hAnsi="仿宋_GB2312" w:eastAsia="仿宋_GB2312"/>
          <w:b/>
          <w:bCs/>
          <w:sz w:val="32"/>
          <w:szCs w:val="32"/>
        </w:rPr>
      </w:pPr>
      <w:r>
        <w:rPr>
          <w:rFonts w:hint="eastAsia" w:ascii="仿宋_GB2312" w:hAnsi="仿宋_GB2312" w:eastAsia="仿宋_GB2312"/>
          <w:b/>
          <w:bCs/>
          <w:sz w:val="32"/>
          <w:szCs w:val="32"/>
          <w:lang w:val="en-US" w:eastAsia="zh-CN"/>
        </w:rPr>
        <w:t>4、</w:t>
      </w:r>
      <w:r>
        <w:rPr>
          <w:rFonts w:hint="eastAsia" w:ascii="仿宋_GB2312" w:hAnsi="仿宋_GB2312" w:eastAsia="仿宋_GB2312"/>
          <w:b/>
          <w:bCs/>
          <w:sz w:val="32"/>
          <w:szCs w:val="32"/>
        </w:rPr>
        <w:t>项目资金使用效益，对环境、经济、社会的可持续影响</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通过推进项目建设，圆满完成为县委、县政府的各项中心工作提供有力后勤服务保障的任务，极大地提升了我县经济实力，取得了极大的生态、经济和社会效益，</w:t>
      </w:r>
      <w:r>
        <w:rPr>
          <w:rFonts w:hint="eastAsia" w:ascii="仿宋_GB2312" w:hAnsi="仿宋_GB2312" w:eastAsia="仿宋_GB2312"/>
          <w:sz w:val="32"/>
          <w:szCs w:val="32"/>
          <w:lang w:eastAsia="zh-CN"/>
        </w:rPr>
        <w:t>有效提高乳源知名度，</w:t>
      </w:r>
      <w:r>
        <w:rPr>
          <w:rFonts w:hint="eastAsia" w:ascii="仿宋_GB2312" w:hAnsi="仿宋_GB2312" w:eastAsia="仿宋_GB2312"/>
          <w:sz w:val="32"/>
          <w:szCs w:val="32"/>
        </w:rPr>
        <w:t>大大提振了我们抓产业和经济发展的信心和决心。</w:t>
      </w:r>
    </w:p>
    <w:p>
      <w:pPr>
        <w:spacing w:line="360" w:lineRule="auto"/>
        <w:ind w:firstLine="643" w:firstLineChars="200"/>
        <w:rPr>
          <w:rFonts w:ascii="仿宋_GB2312" w:eastAsia="仿宋_GB2312"/>
          <w:b/>
          <w:bCs/>
          <w:sz w:val="32"/>
          <w:szCs w:val="32"/>
        </w:rPr>
      </w:pPr>
      <w:r>
        <w:rPr>
          <w:rFonts w:hint="eastAsia" w:ascii="仿宋_GB2312" w:hAnsi="仿宋_GB2312" w:eastAsia="仿宋_GB2312"/>
          <w:b/>
          <w:bCs/>
          <w:sz w:val="32"/>
          <w:szCs w:val="32"/>
          <w:lang w:eastAsia="zh-CN"/>
        </w:rPr>
        <w:t>（二）</w:t>
      </w:r>
      <w:r>
        <w:rPr>
          <w:rFonts w:hint="eastAsia" w:ascii="仿宋_GB2312" w:eastAsia="仿宋_GB2312"/>
          <w:b/>
          <w:bCs/>
          <w:sz w:val="32"/>
          <w:szCs w:val="32"/>
        </w:rPr>
        <w:t>存在问题</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四、其他需要说明的情况</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
    <w:altName w:val="Times New Roman"/>
    <w:panose1 w:val="00000000000000000000"/>
    <w:charset w:val="00"/>
    <w:family w:val="roman"/>
    <w:pitch w:val="default"/>
    <w:sig w:usb0="00000000" w:usb1="00000000" w:usb2="00000000" w:usb3="00000000" w:csb0="00000001"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94C2F2"/>
    <w:multiLevelType w:val="singleLevel"/>
    <w:tmpl w:val="8394C2F2"/>
    <w:lvl w:ilvl="0" w:tentative="0">
      <w:start w:val="1"/>
      <w:numFmt w:val="decimal"/>
      <w:suff w:val="nothing"/>
      <w:lvlText w:val="（%1）"/>
      <w:lvlJc w:val="left"/>
    </w:lvl>
  </w:abstractNum>
  <w:abstractNum w:abstractNumId="1">
    <w:nsid w:val="B07161A4"/>
    <w:multiLevelType w:val="singleLevel"/>
    <w:tmpl w:val="B07161A4"/>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kYjI3MDQxNTI2OTcwZWQ1ZTllNWZmYWUyYmJjNjIifQ=="/>
  </w:docVars>
  <w:rsids>
    <w:rsidRoot w:val="00F22CA7"/>
    <w:rsid w:val="00016241"/>
    <w:rsid w:val="000560B1"/>
    <w:rsid w:val="000C7708"/>
    <w:rsid w:val="000F09C5"/>
    <w:rsid w:val="00182223"/>
    <w:rsid w:val="00313C86"/>
    <w:rsid w:val="003B25CA"/>
    <w:rsid w:val="004903E7"/>
    <w:rsid w:val="00534213"/>
    <w:rsid w:val="006F3C8D"/>
    <w:rsid w:val="006F6EA7"/>
    <w:rsid w:val="0087074D"/>
    <w:rsid w:val="00916C35"/>
    <w:rsid w:val="009C14D0"/>
    <w:rsid w:val="00DA52CB"/>
    <w:rsid w:val="00E409B6"/>
    <w:rsid w:val="00EE444F"/>
    <w:rsid w:val="00F22CA7"/>
    <w:rsid w:val="00F82A22"/>
    <w:rsid w:val="03B020F5"/>
    <w:rsid w:val="048C54B6"/>
    <w:rsid w:val="04973A53"/>
    <w:rsid w:val="04AA006F"/>
    <w:rsid w:val="05BE295E"/>
    <w:rsid w:val="07583E9D"/>
    <w:rsid w:val="088D37AA"/>
    <w:rsid w:val="090C58F2"/>
    <w:rsid w:val="09105EE9"/>
    <w:rsid w:val="0E646141"/>
    <w:rsid w:val="11580EB4"/>
    <w:rsid w:val="13F52854"/>
    <w:rsid w:val="16151DCE"/>
    <w:rsid w:val="179E7A8C"/>
    <w:rsid w:val="187C3A22"/>
    <w:rsid w:val="19E11A4C"/>
    <w:rsid w:val="1AFF3F5A"/>
    <w:rsid w:val="1BEA0FB0"/>
    <w:rsid w:val="1FE73A06"/>
    <w:rsid w:val="208E160B"/>
    <w:rsid w:val="22DF4AF7"/>
    <w:rsid w:val="25665553"/>
    <w:rsid w:val="26F52506"/>
    <w:rsid w:val="2A0C3112"/>
    <w:rsid w:val="2B6F2333"/>
    <w:rsid w:val="2BB533C1"/>
    <w:rsid w:val="2C2B0BC8"/>
    <w:rsid w:val="2C417C31"/>
    <w:rsid w:val="2D9B2143"/>
    <w:rsid w:val="31B14272"/>
    <w:rsid w:val="348C4864"/>
    <w:rsid w:val="355D47B7"/>
    <w:rsid w:val="36AF4448"/>
    <w:rsid w:val="391B70C6"/>
    <w:rsid w:val="39921607"/>
    <w:rsid w:val="41410283"/>
    <w:rsid w:val="42F11952"/>
    <w:rsid w:val="43FA6E4E"/>
    <w:rsid w:val="44942A12"/>
    <w:rsid w:val="44E7272E"/>
    <w:rsid w:val="468762A1"/>
    <w:rsid w:val="48F4016F"/>
    <w:rsid w:val="49460157"/>
    <w:rsid w:val="5375086E"/>
    <w:rsid w:val="544F3B03"/>
    <w:rsid w:val="550D2DBE"/>
    <w:rsid w:val="557650C0"/>
    <w:rsid w:val="57897AEF"/>
    <w:rsid w:val="59A076B8"/>
    <w:rsid w:val="5DA652F6"/>
    <w:rsid w:val="6016488F"/>
    <w:rsid w:val="61050B4B"/>
    <w:rsid w:val="62067C5F"/>
    <w:rsid w:val="6424780A"/>
    <w:rsid w:val="673E766B"/>
    <w:rsid w:val="67C566F4"/>
    <w:rsid w:val="680E60DA"/>
    <w:rsid w:val="681249ED"/>
    <w:rsid w:val="69E63EF6"/>
    <w:rsid w:val="6BD13F79"/>
    <w:rsid w:val="6E623FDB"/>
    <w:rsid w:val="6E822797"/>
    <w:rsid w:val="726E48EC"/>
    <w:rsid w:val="73FC0AB9"/>
    <w:rsid w:val="75BF4A1A"/>
    <w:rsid w:val="7C3D4464"/>
    <w:rsid w:val="7E1A1F87"/>
    <w:rsid w:val="7E7B7CBA"/>
    <w:rsid w:val="7F8F1D58"/>
    <w:rsid w:val="7FCF6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8"/>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Body Text First Indent 21"/>
    <w:basedOn w:val="7"/>
    <w:autoRedefine/>
    <w:qFormat/>
    <w:uiPriority w:val="0"/>
    <w:pPr>
      <w:ind w:firstLine="480"/>
    </w:pPr>
  </w:style>
  <w:style w:type="paragraph" w:customStyle="1" w:styleId="7">
    <w:name w:val="Normal Indent1"/>
    <w:basedOn w:val="1"/>
    <w:autoRedefine/>
    <w:qFormat/>
    <w:uiPriority w:val="0"/>
    <w:pPr>
      <w:spacing w:line="360" w:lineRule="auto"/>
      <w:ind w:firstLine="200" w:firstLineChars="200"/>
    </w:pPr>
    <w:rPr>
      <w:rFonts w:cs="宋体"/>
      <w:sz w:val="24"/>
    </w:rPr>
  </w:style>
  <w:style w:type="character" w:customStyle="1" w:styleId="8">
    <w:name w:val="页眉 字符"/>
    <w:basedOn w:val="5"/>
    <w:link w:val="3"/>
    <w:autoRedefine/>
    <w:semiHidden/>
    <w:qFormat/>
    <w:uiPriority w:val="99"/>
    <w:rPr>
      <w:rFonts w:ascii="Times New Roman" w:hAnsi="Times New Roman" w:eastAsia="宋体" w:cs="Times New Roman"/>
      <w:sz w:val="18"/>
      <w:szCs w:val="18"/>
    </w:rPr>
  </w:style>
  <w:style w:type="character" w:customStyle="1" w:styleId="9">
    <w:name w:val="页脚 字符"/>
    <w:basedOn w:val="5"/>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14</Pages>
  <Words>6463</Words>
  <Characters>6679</Characters>
  <Lines>50</Lines>
  <Paragraphs>14</Paragraphs>
  <TotalTime>0</TotalTime>
  <ScaleCrop>false</ScaleCrop>
  <LinksUpToDate>false</LinksUpToDate>
  <CharactersWithSpaces>6691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包黑小王纸最爱小公举</cp:lastModifiedBy>
  <cp:lastPrinted>2018-10-25T02:57:00Z</cp:lastPrinted>
  <dcterms:modified xsi:type="dcterms:W3CDTF">2024-04-10T09:42:35Z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DCAB03DDC5B54D07AA5B7C8D1EE726A1_13</vt:lpwstr>
  </property>
</Properties>
</file>