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ascii="宋体" w:hAnsi="宋体"/>
          <w:b/>
          <w:sz w:val="36"/>
          <w:szCs w:val="36"/>
        </w:rPr>
      </w:pPr>
      <w:r>
        <w:rPr>
          <w:rFonts w:hint="eastAsia" w:ascii="宋体" w:hAnsi="宋体"/>
          <w:b/>
          <w:sz w:val="36"/>
          <w:szCs w:val="36"/>
        </w:rPr>
        <w:t>财政支出项目绩效自评报告（</w:t>
      </w:r>
      <w:r>
        <w:rPr>
          <w:rFonts w:hint="eastAsia" w:ascii="宋体" w:hAnsi="宋体"/>
          <w:b/>
          <w:sz w:val="36"/>
          <w:szCs w:val="36"/>
          <w:lang w:eastAsia="zh-CN"/>
        </w:rPr>
        <w:t>会议费</w:t>
      </w:r>
      <w:r>
        <w:rPr>
          <w:rFonts w:hint="eastAsia" w:ascii="宋体" w:hAnsi="宋体"/>
          <w:b/>
          <w:sz w:val="36"/>
          <w:szCs w:val="36"/>
        </w:rPr>
        <w:t>）</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乳源瑶族自治县机关事务管理局为县委、县政府直属参照公务员法管理事业单位，正科级。设6个正股级内设机构：综合股、接待股、资产管理股、公车管理股、计划财务股和服务保障股。</w:t>
      </w:r>
    </w:p>
    <w:p>
      <w:pPr>
        <w:pStyle w:val="4"/>
        <w:keepNext w:val="0"/>
        <w:keepLines w:val="0"/>
        <w:widowControl/>
        <w:suppressLineNumbers w:val="0"/>
        <w:spacing w:before="0" w:beforeAutospacing="0" w:after="0" w:afterAutospacing="0" w:line="330" w:lineRule="atLeast"/>
        <w:ind w:left="0" w:right="0" w:firstLine="640" w:firstLineChars="200"/>
        <w:jc w:val="both"/>
        <w:rPr>
          <w:rFonts w:hint="eastAsia" w:ascii="仿宋_GB2312" w:eastAsia="仿宋_GB2312"/>
          <w:sz w:val="32"/>
          <w:szCs w:val="32"/>
        </w:rPr>
      </w:pPr>
      <w:r>
        <w:rPr>
          <w:rFonts w:hint="eastAsia" w:ascii="仿宋_GB2312" w:hAnsi="仿宋_GB2312" w:eastAsia="仿宋_GB2312" w:cs="仿宋_GB2312"/>
          <w:kern w:val="2"/>
          <w:sz w:val="32"/>
          <w:szCs w:val="32"/>
          <w:lang w:val="en-US" w:eastAsia="zh-CN" w:bidi="ar-SA"/>
        </w:rPr>
        <w:t>会议费是由接待股使用。</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spacing w:line="360" w:lineRule="auto"/>
        <w:ind w:firstLine="640" w:firstLineChars="200"/>
        <w:rPr>
          <w:rFonts w:ascii="仿宋_GB2312" w:hAnsi="Times New Roman" w:eastAsia="仿宋_GB2312" w:cs="Times New Roman"/>
          <w:sz w:val="32"/>
          <w:szCs w:val="32"/>
        </w:rPr>
      </w:pPr>
      <w:r>
        <w:rPr>
          <w:rFonts w:hint="eastAsia" w:ascii="仿宋_GB2312" w:eastAsia="仿宋_GB2312" w:cs="Times New Roman"/>
          <w:sz w:val="32"/>
          <w:szCs w:val="32"/>
          <w:lang w:eastAsia="zh-CN"/>
        </w:rPr>
        <w:t>会议费</w:t>
      </w:r>
      <w:r>
        <w:rPr>
          <w:rFonts w:hint="eastAsia" w:ascii="仿宋_GB2312" w:hAnsi="Times New Roman" w:eastAsia="仿宋_GB2312" w:cs="Times New Roman"/>
          <w:sz w:val="32"/>
          <w:szCs w:val="32"/>
        </w:rPr>
        <w:t>实施主要内容：</w:t>
      </w:r>
      <w:r>
        <w:rPr>
          <w:rFonts w:hint="eastAsia" w:ascii="仿宋_GB2312" w:eastAsia="仿宋_GB2312" w:cs="Times New Roman"/>
          <w:sz w:val="32"/>
          <w:szCs w:val="32"/>
          <w:lang w:eastAsia="zh-CN"/>
        </w:rPr>
        <w:t>县四套班子召开的座谈会、专题会等会场租赁费</w:t>
      </w:r>
      <w:r>
        <w:rPr>
          <w:rFonts w:hint="eastAsia" w:ascii="仿宋_GB2312" w:hAnsi="Times New Roman" w:eastAsia="仿宋_GB2312" w:cs="Times New Roman"/>
          <w:sz w:val="32"/>
          <w:szCs w:val="32"/>
        </w:rPr>
        <w:t>。</w:t>
      </w:r>
    </w:p>
    <w:p>
      <w:pPr>
        <w:spacing w:line="360" w:lineRule="auto"/>
        <w:ind w:firstLine="640" w:firstLineChars="200"/>
        <w:rPr>
          <w:rFonts w:hint="eastAsia" w:ascii="仿宋_GB2312" w:hAnsi="??" w:eastAsia="仿宋_GB2312" w:cs="Times New Roman"/>
          <w:sz w:val="32"/>
          <w:szCs w:val="32"/>
          <w:lang w:val="en-US" w:eastAsia="zh-CN"/>
        </w:rPr>
      </w:pPr>
      <w:r>
        <w:rPr>
          <w:rFonts w:hint="eastAsia" w:ascii="仿宋_GB2312" w:hAnsi="Times New Roman" w:eastAsia="仿宋_GB2312" w:cs="Times New Roman"/>
          <w:sz w:val="32"/>
          <w:szCs w:val="32"/>
        </w:rPr>
        <w:t>实施程序</w:t>
      </w:r>
      <w:r>
        <w:rPr>
          <w:rFonts w:hint="eastAsia" w:ascii="仿宋_GB2312" w:hAnsi="Times New Roman" w:eastAsia="仿宋_GB2312" w:cs="Times New Roman"/>
          <w:sz w:val="32"/>
          <w:szCs w:val="32"/>
          <w:lang w:eastAsia="zh-CN"/>
        </w:rPr>
        <w:t>过程中，</w:t>
      </w:r>
      <w:r>
        <w:rPr>
          <w:rFonts w:hint="eastAsia" w:ascii="仿宋_GB2312" w:eastAsia="仿宋_GB2312" w:cs="Times New Roman"/>
          <w:sz w:val="32"/>
          <w:szCs w:val="32"/>
          <w:lang w:eastAsia="zh-CN"/>
        </w:rPr>
        <w:t>由县四套班子办公室发送会议通知并委派我局负责会议的后勤保障工作，</w:t>
      </w:r>
      <w:r>
        <w:rPr>
          <w:rFonts w:hint="eastAsia" w:ascii="仿宋_GB2312" w:hAnsi="??" w:eastAsia="仿宋_GB2312" w:cs="Times New Roman"/>
          <w:sz w:val="32"/>
          <w:szCs w:val="32"/>
          <w:lang w:val="en-US" w:eastAsia="zh-CN"/>
        </w:rPr>
        <w:t>原则上选取乳源瑶族自治县限上餐饮企业作为会议场所，具体程序如下：</w:t>
      </w:r>
    </w:p>
    <w:p>
      <w:pPr>
        <w:spacing w:line="360" w:lineRule="auto"/>
        <w:ind w:firstLine="640" w:firstLineChars="200"/>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val="en-US" w:eastAsia="zh-CN"/>
        </w:rPr>
        <w:t>1</w:t>
      </w:r>
      <w:r>
        <w:rPr>
          <w:rFonts w:hint="eastAsia" w:ascii="仿宋_GB2312" w:hAnsi="Times New Roman" w:eastAsia="仿宋_GB2312" w:cs="Times New Roman"/>
          <w:sz w:val="32"/>
          <w:szCs w:val="32"/>
          <w:lang w:eastAsia="zh-CN"/>
        </w:rPr>
        <w:t>）县四套班子办公室将</w:t>
      </w:r>
      <w:r>
        <w:rPr>
          <w:rFonts w:hint="eastAsia" w:ascii="仿宋_GB2312" w:eastAsia="仿宋_GB2312" w:cs="Times New Roman"/>
          <w:sz w:val="32"/>
          <w:szCs w:val="32"/>
          <w:lang w:eastAsia="zh-CN"/>
        </w:rPr>
        <w:t>会议通知</w:t>
      </w:r>
      <w:r>
        <w:rPr>
          <w:rFonts w:hint="eastAsia" w:ascii="仿宋_GB2312" w:hAnsi="Times New Roman" w:eastAsia="仿宋_GB2312" w:cs="Times New Roman"/>
          <w:sz w:val="32"/>
          <w:szCs w:val="32"/>
          <w:lang w:eastAsia="zh-CN"/>
        </w:rPr>
        <w:t>发送至我局，并委派我局按照相关规定做好</w:t>
      </w:r>
      <w:r>
        <w:rPr>
          <w:rFonts w:hint="eastAsia" w:ascii="仿宋_GB2312" w:eastAsia="仿宋_GB2312" w:cs="Times New Roman"/>
          <w:sz w:val="32"/>
          <w:szCs w:val="32"/>
          <w:lang w:eastAsia="zh-CN"/>
        </w:rPr>
        <w:t>会议的后勤保障工作</w:t>
      </w:r>
      <w:r>
        <w:rPr>
          <w:rFonts w:hint="eastAsia" w:ascii="仿宋_GB2312" w:hAnsi="Times New Roman" w:eastAsia="仿宋_GB2312" w:cs="Times New Roman"/>
          <w:sz w:val="32"/>
          <w:szCs w:val="32"/>
          <w:lang w:eastAsia="zh-CN"/>
        </w:rPr>
        <w:t>；</w:t>
      </w:r>
    </w:p>
    <w:p>
      <w:pPr>
        <w:pStyle w:val="7"/>
      </w:pPr>
      <w:r>
        <w:rPr>
          <w:rFonts w:hint="eastAsia" w:ascii="仿宋_GB2312" w:eastAsia="仿宋_GB2312" w:cs="Times New Roman"/>
          <w:sz w:val="32"/>
          <w:szCs w:val="32"/>
          <w:lang w:eastAsia="zh-CN"/>
        </w:rPr>
        <w:t>（</w:t>
      </w:r>
      <w:r>
        <w:rPr>
          <w:rFonts w:hint="eastAsia" w:ascii="仿宋_GB2312" w:eastAsia="仿宋_GB2312" w:cs="Times New Roman"/>
          <w:sz w:val="32"/>
          <w:szCs w:val="32"/>
          <w:lang w:val="en-US" w:eastAsia="zh-CN"/>
        </w:rPr>
        <w:t>2</w:t>
      </w:r>
      <w:r>
        <w:rPr>
          <w:rFonts w:hint="eastAsia" w:ascii="仿宋_GB2312" w:eastAsia="仿宋_GB2312" w:cs="Times New Roman"/>
          <w:sz w:val="32"/>
          <w:szCs w:val="32"/>
          <w:lang w:eastAsia="zh-CN"/>
        </w:rPr>
        <w:t>）会议结束后，填写费用报销单，并附上会议通知、消费单、发票等资料，按照财务制度进行报销。</w:t>
      </w:r>
    </w:p>
    <w:p>
      <w:pPr>
        <w:numPr>
          <w:ilvl w:val="0"/>
          <w:numId w:val="1"/>
        </w:numPr>
        <w:spacing w:line="360" w:lineRule="auto"/>
        <w:ind w:left="0" w:leftChars="0" w:firstLine="640" w:firstLineChars="200"/>
        <w:rPr>
          <w:rFonts w:hint="eastAsia" w:ascii="仿宋_GB2312" w:eastAsia="仿宋_GB2312"/>
          <w:sz w:val="32"/>
          <w:szCs w:val="32"/>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我局高度重视财政支出项目绩效自评工作，成立</w:t>
      </w:r>
      <w:r>
        <w:rPr>
          <w:rFonts w:hint="eastAsia" w:ascii="仿宋_GB2312" w:eastAsia="仿宋_GB2312"/>
          <w:sz w:val="32"/>
          <w:szCs w:val="32"/>
          <w:lang w:eastAsia="zh-CN"/>
        </w:rPr>
        <w:t>以局长为组长、各主管项目的业务股负责人为组员的</w:t>
      </w:r>
      <w:r>
        <w:rPr>
          <w:rFonts w:hint="eastAsia" w:ascii="仿宋_GB2312" w:eastAsia="仿宋_GB2312"/>
          <w:sz w:val="32"/>
          <w:szCs w:val="32"/>
        </w:rPr>
        <w:t>绩效自评工作领导小组，明确了领导小组各组成成员的职责及分工，形成相互制约、相互监督的工作机制，认真开展项目支出绩效自评工作。</w:t>
      </w:r>
    </w:p>
    <w:p>
      <w:pPr>
        <w:spacing w:line="360" w:lineRule="auto"/>
        <w:ind w:firstLine="640" w:firstLineChars="200"/>
        <w:rPr>
          <w:rFonts w:ascii="仿宋_GB2312" w:eastAsia="仿宋_GB2312"/>
          <w:sz w:val="32"/>
          <w:szCs w:val="32"/>
        </w:rPr>
      </w:pPr>
      <w:r>
        <w:rPr>
          <w:rFonts w:hint="eastAsia" w:ascii="仿宋_GB2312" w:eastAsia="仿宋_GB2312"/>
          <w:sz w:val="32"/>
          <w:szCs w:val="32"/>
          <w:lang w:eastAsia="zh-CN"/>
        </w:rPr>
        <w:t>会议费</w:t>
      </w:r>
      <w:r>
        <w:rPr>
          <w:rFonts w:hint="eastAsia" w:ascii="仿宋_GB2312" w:eastAsia="仿宋_GB2312"/>
          <w:sz w:val="32"/>
          <w:szCs w:val="32"/>
        </w:rPr>
        <w:t>通过审查项目绩效目标表、《乳源瑶族自治县机关事务管理局财务管理制度》、《乳源瑶族自治县县直党政机关和事业单位会议费管理办法》等文件以及会议费支出明细表、科目明细账、记账凭证、原始凭证等资料</w:t>
      </w:r>
      <w:r>
        <w:rPr>
          <w:rFonts w:hint="eastAsia" w:ascii="仿宋_GB2312" w:eastAsia="仿宋_GB2312"/>
          <w:sz w:val="32"/>
          <w:szCs w:val="32"/>
          <w:lang w:eastAsia="zh-CN"/>
        </w:rPr>
        <w:t>，</w:t>
      </w:r>
      <w:r>
        <w:rPr>
          <w:rFonts w:hint="eastAsia" w:ascii="仿宋_GB2312" w:eastAsia="仿宋_GB2312"/>
          <w:sz w:val="32"/>
          <w:szCs w:val="32"/>
        </w:rPr>
        <w:t>认真对照财政专项资金绩效评价指标体系，对项目完成情况进行了全方位自查和自评打分</w:t>
      </w:r>
      <w:r>
        <w:rPr>
          <w:rFonts w:hint="eastAsia" w:ascii="仿宋_GB2312" w:eastAsia="仿宋_GB2312"/>
          <w:sz w:val="32"/>
          <w:szCs w:val="32"/>
          <w:lang w:eastAsia="zh-CN"/>
        </w:rPr>
        <w:t>，得分为</w:t>
      </w:r>
      <w:r>
        <w:rPr>
          <w:rFonts w:hint="eastAsia" w:ascii="仿宋_GB2312" w:eastAsia="仿宋_GB2312"/>
          <w:sz w:val="32"/>
          <w:szCs w:val="32"/>
          <w:lang w:val="en-US" w:eastAsia="zh-CN"/>
        </w:rPr>
        <w:t>99分。</w:t>
      </w:r>
      <w:r>
        <w:rPr>
          <w:rFonts w:hint="eastAsia" w:ascii="仿宋_GB2312" w:eastAsia="仿宋_GB2312"/>
          <w:sz w:val="32"/>
          <w:szCs w:val="32"/>
        </w:rPr>
        <w:t>通过绩效自评，进一步规范财政资金规划管理，强化部门责任意识，提高财政资金使用效益。</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pStyle w:val="7"/>
        <w:rPr>
          <w:rFonts w:hint="eastAsia"/>
        </w:rPr>
      </w:pPr>
      <w:r>
        <w:rPr>
          <w:rFonts w:hint="eastAsia" w:ascii="仿宋_GB2312" w:eastAsia="仿宋_GB2312"/>
          <w:sz w:val="32"/>
          <w:szCs w:val="32"/>
          <w:lang w:eastAsia="zh-CN"/>
        </w:rPr>
        <w:t>公务接待专项经费</w:t>
      </w:r>
      <w:r>
        <w:rPr>
          <w:rFonts w:hint="eastAsia" w:ascii="仿宋_GB2312" w:hAnsi="仿宋_GB2312" w:eastAsia="仿宋_GB2312"/>
          <w:sz w:val="32"/>
          <w:szCs w:val="32"/>
        </w:rPr>
        <w:t>年度资金安排总额共计</w:t>
      </w:r>
      <w:r>
        <w:rPr>
          <w:rFonts w:hint="eastAsia" w:ascii="仿宋_GB2312" w:hAnsi="仿宋_GB2312" w:eastAsia="仿宋_GB2312"/>
          <w:sz w:val="32"/>
          <w:szCs w:val="32"/>
          <w:lang w:val="en-US" w:eastAsia="zh-CN"/>
        </w:rPr>
        <w:t>5</w:t>
      </w:r>
      <w:r>
        <w:rPr>
          <w:rFonts w:hint="eastAsia" w:ascii="仿宋_GB2312" w:hAnsi="仿宋_GB2312" w:eastAsia="仿宋_GB2312"/>
          <w:sz w:val="32"/>
          <w:szCs w:val="32"/>
        </w:rPr>
        <w:t>万元。我局按照年初项目工作计划，控制项目成本，较好地完成了各项工作任务。</w:t>
      </w:r>
    </w:p>
    <w:p>
      <w:pPr>
        <w:numPr>
          <w:ilvl w:val="0"/>
          <w:numId w:val="2"/>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spacing w:line="360" w:lineRule="auto"/>
        <w:ind w:firstLine="640" w:firstLineChars="200"/>
        <w:rPr>
          <w:rFonts w:hint="eastAsia"/>
        </w:rPr>
      </w:pPr>
      <w:r>
        <w:rPr>
          <w:rFonts w:hint="eastAsia" w:ascii="仿宋_GB2312" w:eastAsia="仿宋_GB2312"/>
          <w:sz w:val="32"/>
          <w:szCs w:val="32"/>
          <w:lang w:eastAsia="zh-CN"/>
        </w:rPr>
        <w:t>会议费</w:t>
      </w:r>
      <w:r>
        <w:rPr>
          <w:rFonts w:hint="eastAsia" w:ascii="仿宋_GB2312" w:hAnsi="仿宋_GB2312" w:eastAsia="仿宋_GB2312" w:cs="Times New Roman"/>
          <w:sz w:val="32"/>
          <w:szCs w:val="32"/>
        </w:rPr>
        <w:t>严格按照</w:t>
      </w:r>
      <w:r>
        <w:rPr>
          <w:rFonts w:hint="eastAsia" w:ascii="仿宋_GB2312" w:hAnsi="仿宋_GB2312" w:eastAsia="仿宋_GB2312" w:cs="Times New Roman"/>
          <w:sz w:val="32"/>
          <w:szCs w:val="32"/>
          <w:lang w:eastAsia="zh-CN"/>
        </w:rPr>
        <w:t>相关规定</w:t>
      </w:r>
      <w:r>
        <w:rPr>
          <w:rFonts w:hint="eastAsia" w:ascii="仿宋_GB2312" w:hAnsi="仿宋_GB2312" w:eastAsia="仿宋_GB2312" w:cs="Times New Roman"/>
          <w:sz w:val="32"/>
          <w:szCs w:val="32"/>
        </w:rPr>
        <w:t>进行支付，支出共计</w:t>
      </w:r>
      <w:r>
        <w:rPr>
          <w:rFonts w:hint="eastAsia" w:ascii="仿宋_GB2312" w:hAnsi="仿宋_GB2312" w:eastAsia="仿宋_GB2312" w:cs="Times New Roman"/>
          <w:sz w:val="32"/>
          <w:szCs w:val="32"/>
          <w:lang w:val="en-US" w:eastAsia="zh-CN"/>
        </w:rPr>
        <w:t>4.945</w:t>
      </w:r>
      <w:r>
        <w:rPr>
          <w:rFonts w:hint="eastAsia" w:ascii="仿宋_GB2312" w:hAnsi="仿宋_GB2312" w:eastAsia="仿宋_GB2312" w:cs="Times New Roman"/>
          <w:sz w:val="32"/>
          <w:szCs w:val="32"/>
        </w:rPr>
        <w:t>万元，年末资金使用</w:t>
      </w:r>
      <w:r>
        <w:rPr>
          <w:rFonts w:hint="eastAsia" w:ascii="仿宋_GB2312" w:hAnsi="仿宋_GB2312" w:eastAsia="仿宋_GB2312" w:cs="Times New Roman"/>
          <w:sz w:val="32"/>
          <w:szCs w:val="32"/>
          <w:lang w:val="en-US" w:eastAsia="zh-CN"/>
        </w:rPr>
        <w:t>98.9</w:t>
      </w:r>
      <w:r>
        <w:rPr>
          <w:rFonts w:hint="eastAsia" w:ascii="仿宋_GB2312" w:hAnsi="仿宋_GB2312" w:eastAsia="仿宋_GB2312" w:cs="Times New Roman"/>
          <w:sz w:val="32"/>
          <w:szCs w:val="32"/>
        </w:rPr>
        <w:t>%，不存在重复支付。</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pStyle w:val="7"/>
        <w:numPr>
          <w:ilvl w:val="0"/>
          <w:numId w:val="0"/>
        </w:numPr>
        <w:ind w:leftChars="200" w:firstLine="640" w:firstLineChars="200"/>
        <w:rPr>
          <w:rFonts w:hint="default" w:ascii="仿宋_GB2312" w:hAnsi="Times New Roman"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全年服务县四套班子召开的各类座谈会、专题会等</w:t>
      </w:r>
      <w:r>
        <w:rPr>
          <w:rFonts w:hint="eastAsia" w:ascii="仿宋_GB2312" w:hAnsi="仿宋_GB2312" w:eastAsia="仿宋_GB2312" w:cs="仿宋_GB2312"/>
          <w:color w:val="auto"/>
          <w:sz w:val="32"/>
          <w:szCs w:val="32"/>
          <w:highlight w:val="none"/>
          <w:lang w:val="en-US" w:eastAsia="zh-CN"/>
        </w:rPr>
        <w:t>100余次，累计</w:t>
      </w:r>
      <w:r>
        <w:rPr>
          <w:rFonts w:hint="eastAsia" w:ascii="仿宋_GB2312" w:hAnsi="仿宋_GB2312" w:eastAsia="仿宋_GB2312" w:cs="仿宋_GB2312"/>
          <w:color w:val="auto"/>
          <w:kern w:val="2"/>
          <w:sz w:val="32"/>
          <w:szCs w:val="32"/>
          <w:highlight w:val="none"/>
          <w:lang w:val="en-US" w:eastAsia="zh-CN"/>
        </w:rPr>
        <w:t>保障参会人员约17000人次</w:t>
      </w:r>
      <w:r>
        <w:rPr>
          <w:rFonts w:hint="eastAsia" w:ascii="仿宋_GB2312" w:eastAsia="仿宋_GB2312" w:cs="Times New Roman"/>
          <w:kern w:val="2"/>
          <w:sz w:val="32"/>
          <w:szCs w:val="32"/>
          <w:lang w:val="en-US" w:eastAsia="zh-CN" w:bidi="ar-SA"/>
        </w:rPr>
        <w:t>，较好完成县委、县政府交办的会议后勤保障任务</w:t>
      </w:r>
      <w:bookmarkStart w:id="0" w:name="_GoBack"/>
      <w:bookmarkEnd w:id="0"/>
      <w:r>
        <w:rPr>
          <w:rFonts w:hint="eastAsia" w:ascii="仿宋_GB2312" w:eastAsia="仿宋_GB2312" w:cs="Times New Roman"/>
          <w:kern w:val="2"/>
          <w:sz w:val="32"/>
          <w:szCs w:val="32"/>
          <w:lang w:val="en-US" w:eastAsia="zh-CN" w:bidi="ar-SA"/>
        </w:rPr>
        <w:t>。</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pStyle w:val="7"/>
        <w:numPr>
          <w:ilvl w:val="0"/>
          <w:numId w:val="0"/>
        </w:numPr>
        <w:ind w:leftChars="200" w:firstLine="640" w:firstLineChars="200"/>
        <w:rPr>
          <w:rFonts w:hint="eastAsia" w:ascii="仿宋_GB2312" w:hAnsi="Times New Roman"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围绕县委、县政府的中心工作，做好会场的后勤保障工作，为“百千万工程”、绿美乳源建设贡献机关事务人的力量。</w:t>
      </w:r>
    </w:p>
    <w:p>
      <w:pPr>
        <w:numPr>
          <w:ilvl w:val="0"/>
          <w:numId w:val="3"/>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存在问题。</w:t>
      </w:r>
    </w:p>
    <w:p>
      <w:pPr>
        <w:pStyle w:val="7"/>
        <w:numPr>
          <w:ilvl w:val="0"/>
          <w:numId w:val="0"/>
        </w:numPr>
        <w:ind w:leftChars="200" w:firstLine="640" w:firstLineChars="200"/>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支付进度慢</w:t>
      </w:r>
      <w:r>
        <w:rPr>
          <w:rFonts w:hint="eastAsia" w:ascii="仿宋_GB2312" w:eastAsia="仿宋_GB2312" w:cs="Times New Roman"/>
          <w:kern w:val="2"/>
          <w:sz w:val="32"/>
          <w:szCs w:val="32"/>
          <w:lang w:val="en-US" w:eastAsia="zh-CN" w:bidi="ar-SA"/>
        </w:rPr>
        <w:t>。</w:t>
      </w:r>
      <w:r>
        <w:rPr>
          <w:rFonts w:hint="eastAsia" w:ascii="仿宋_GB2312" w:hAnsi="Times New Roman" w:eastAsia="仿宋_GB2312" w:cs="Times New Roman"/>
          <w:kern w:val="2"/>
          <w:sz w:val="32"/>
          <w:szCs w:val="32"/>
          <w:lang w:val="en-US" w:eastAsia="zh-CN" w:bidi="ar-SA"/>
        </w:rPr>
        <w:t>主要是因为相关单据及佐证材料</w:t>
      </w:r>
      <w:r>
        <w:rPr>
          <w:rFonts w:hint="eastAsia" w:ascii="仿宋_GB2312" w:eastAsia="仿宋_GB2312" w:cs="Times New Roman"/>
          <w:kern w:val="2"/>
          <w:sz w:val="32"/>
          <w:szCs w:val="32"/>
          <w:lang w:val="en-US" w:eastAsia="zh-CN" w:bidi="ar-SA"/>
        </w:rPr>
        <w:t>不齐全或</w:t>
      </w:r>
      <w:r>
        <w:rPr>
          <w:rFonts w:hint="eastAsia" w:ascii="仿宋_GB2312" w:hAnsi="Times New Roman" w:eastAsia="仿宋_GB2312" w:cs="Times New Roman"/>
          <w:kern w:val="2"/>
          <w:sz w:val="32"/>
          <w:szCs w:val="32"/>
          <w:lang w:val="en-US" w:eastAsia="zh-CN" w:bidi="ar-SA"/>
        </w:rPr>
        <w:t>搜集不及时。</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针对存在的问题提出完善项目管理资金绩效管理的意见。或拟在下一步工作中调整完善的工作计划。</w:t>
      </w:r>
    </w:p>
    <w:p>
      <w:pPr>
        <w:pStyle w:val="7"/>
        <w:numPr>
          <w:ilvl w:val="0"/>
          <w:numId w:val="0"/>
        </w:numPr>
        <w:ind w:leftChars="200" w:firstLine="640" w:firstLineChars="200"/>
        <w:rPr>
          <w:rFonts w:hint="eastAsia" w:ascii="仿宋_GB2312" w:hAnsi="Times New Roman"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（一）</w:t>
      </w:r>
      <w:r>
        <w:rPr>
          <w:rFonts w:hint="eastAsia" w:ascii="仿宋_GB2312" w:hAnsi="Times New Roman" w:eastAsia="仿宋_GB2312" w:cs="Times New Roman"/>
          <w:kern w:val="2"/>
          <w:sz w:val="32"/>
          <w:szCs w:val="32"/>
          <w:lang w:val="en-US" w:eastAsia="zh-CN" w:bidi="ar-SA"/>
        </w:rPr>
        <w:t>进一步加强财务制度</w:t>
      </w:r>
      <w:r>
        <w:rPr>
          <w:rFonts w:hint="eastAsia" w:ascii="仿宋_GB2312" w:eastAsia="仿宋_GB2312" w:cs="Times New Roman"/>
          <w:kern w:val="2"/>
          <w:sz w:val="32"/>
          <w:szCs w:val="32"/>
          <w:lang w:val="en-US" w:eastAsia="zh-CN" w:bidi="ar-SA"/>
        </w:rPr>
        <w:t>及会议费管理办法</w:t>
      </w:r>
      <w:r>
        <w:rPr>
          <w:rFonts w:hint="eastAsia" w:ascii="仿宋_GB2312" w:hAnsi="Times New Roman" w:eastAsia="仿宋_GB2312" w:cs="Times New Roman"/>
          <w:kern w:val="2"/>
          <w:sz w:val="32"/>
          <w:szCs w:val="32"/>
          <w:lang w:val="en-US" w:eastAsia="zh-CN" w:bidi="ar-SA"/>
        </w:rPr>
        <w:t>学习，掌握最新</w:t>
      </w:r>
      <w:r>
        <w:rPr>
          <w:rFonts w:hint="eastAsia" w:ascii="仿宋_GB2312" w:eastAsia="仿宋_GB2312" w:cs="Times New Roman"/>
          <w:kern w:val="2"/>
          <w:sz w:val="32"/>
          <w:szCs w:val="32"/>
          <w:lang w:val="en-US" w:eastAsia="zh-CN" w:bidi="ar-SA"/>
        </w:rPr>
        <w:t>制度要求</w:t>
      </w:r>
      <w:r>
        <w:rPr>
          <w:rFonts w:hint="eastAsia" w:ascii="仿宋_GB2312" w:hAnsi="Times New Roman" w:eastAsia="仿宋_GB2312" w:cs="Times New Roman"/>
          <w:kern w:val="2"/>
          <w:sz w:val="32"/>
          <w:szCs w:val="32"/>
          <w:lang w:val="en-US" w:eastAsia="zh-CN" w:bidi="ar-SA"/>
        </w:rPr>
        <w:t>。</w:t>
      </w:r>
    </w:p>
    <w:p>
      <w:pPr>
        <w:pStyle w:val="7"/>
        <w:numPr>
          <w:ilvl w:val="0"/>
          <w:numId w:val="0"/>
        </w:numPr>
        <w:ind w:leftChars="200" w:firstLine="640" w:firstLineChars="200"/>
        <w:rPr>
          <w:rFonts w:hint="eastAsia" w:ascii="仿宋_GB2312" w:hAnsi="Times New Roman"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（二）</w:t>
      </w:r>
      <w:r>
        <w:rPr>
          <w:rFonts w:hint="eastAsia" w:ascii="仿宋_GB2312" w:hAnsi="Times New Roman" w:eastAsia="仿宋_GB2312" w:cs="Times New Roman"/>
          <w:kern w:val="2"/>
          <w:sz w:val="32"/>
          <w:szCs w:val="32"/>
          <w:lang w:val="en-US" w:eastAsia="zh-CN" w:bidi="ar-SA"/>
        </w:rPr>
        <w:t>加强与四套班子办公室的沟通交流，及时搜集相关单据及佐证材料。</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
    <w:altName w:val="Segoe Print"/>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130EFD"/>
    <w:multiLevelType w:val="singleLevel"/>
    <w:tmpl w:val="B2130EFD"/>
    <w:lvl w:ilvl="0" w:tentative="0">
      <w:start w:val="2"/>
      <w:numFmt w:val="decimal"/>
      <w:suff w:val="nothing"/>
      <w:lvlText w:val="%1、"/>
      <w:lvlJc w:val="left"/>
    </w:lvl>
  </w:abstractNum>
  <w:abstractNum w:abstractNumId="1">
    <w:nsid w:val="E41EEE07"/>
    <w:multiLevelType w:val="singleLevel"/>
    <w:tmpl w:val="E41EEE07"/>
    <w:lvl w:ilvl="0" w:tentative="0">
      <w:start w:val="2"/>
      <w:numFmt w:val="chineseCounting"/>
      <w:suff w:val="nothing"/>
      <w:lvlText w:val="（%1）"/>
      <w:lvlJc w:val="left"/>
      <w:rPr>
        <w:rFonts w:hint="eastAsia"/>
      </w:rPr>
    </w:lvl>
  </w:abstractNum>
  <w:abstractNum w:abstractNumId="2">
    <w:nsid w:val="068F7F58"/>
    <w:multiLevelType w:val="singleLevel"/>
    <w:tmpl w:val="068F7F58"/>
    <w:lvl w:ilvl="0" w:tentative="0">
      <w:start w:val="2"/>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kYjI3MDQxNTI2OTcwZWQ1ZTllNWZmYWUyYmJjNjI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3613F6E"/>
    <w:rsid w:val="13C16018"/>
    <w:rsid w:val="1BEA0FB0"/>
    <w:rsid w:val="226F6DBF"/>
    <w:rsid w:val="2A0C3112"/>
    <w:rsid w:val="33F1694F"/>
    <w:rsid w:val="39921607"/>
    <w:rsid w:val="468762A1"/>
    <w:rsid w:val="4BD8154D"/>
    <w:rsid w:val="5375086E"/>
    <w:rsid w:val="62C90F25"/>
    <w:rsid w:val="6FF72E40"/>
    <w:rsid w:val="7A0135EE"/>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8"/>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autoRedefine/>
    <w:semiHidden/>
    <w:unhideWhenUsed/>
    <w:qFormat/>
    <w:uiPriority w:val="99"/>
    <w:pPr>
      <w:widowControl w:val="0"/>
      <w:spacing w:before="0" w:beforeAutospacing="1" w:after="0" w:afterAutospacing="1"/>
      <w:ind w:left="0" w:right="0"/>
      <w:jc w:val="left"/>
    </w:pPr>
    <w:rPr>
      <w:rFonts w:ascii="Times New Roman" w:hAnsi="Times New Roman" w:eastAsia="宋体" w:cs="Times New Roman"/>
      <w:kern w:val="0"/>
      <w:sz w:val="24"/>
      <w:lang w:val="en-US" w:eastAsia="zh-CN" w:bidi="ar"/>
    </w:rPr>
  </w:style>
  <w:style w:type="paragraph" w:customStyle="1" w:styleId="7">
    <w:name w:val="Body Text First Indent 21"/>
    <w:autoRedefine/>
    <w:qFormat/>
    <w:uiPriority w:val="0"/>
    <w:pPr>
      <w:widowControl w:val="0"/>
      <w:spacing w:line="360" w:lineRule="auto"/>
      <w:ind w:firstLine="480" w:firstLineChars="200"/>
      <w:jc w:val="both"/>
    </w:pPr>
    <w:rPr>
      <w:rFonts w:ascii="Times New Roman" w:hAnsi="Times New Roman" w:eastAsia="宋体" w:cs="宋体"/>
      <w:kern w:val="2"/>
      <w:sz w:val="24"/>
      <w:lang w:val="en-US" w:eastAsia="zh-CN" w:bidi="ar-SA"/>
    </w:rPr>
  </w:style>
  <w:style w:type="character" w:customStyle="1" w:styleId="8">
    <w:name w:val="页眉 Char"/>
    <w:basedOn w:val="6"/>
    <w:link w:val="3"/>
    <w:autoRedefine/>
    <w:semiHidden/>
    <w:qFormat/>
    <w:uiPriority w:val="99"/>
    <w:rPr>
      <w:rFonts w:ascii="Times New Roman" w:hAnsi="Times New Roman" w:eastAsia="宋体" w:cs="Times New Roman"/>
      <w:sz w:val="18"/>
      <w:szCs w:val="18"/>
    </w:rPr>
  </w:style>
  <w:style w:type="character" w:customStyle="1" w:styleId="9">
    <w:name w:val="页脚 Char"/>
    <w:basedOn w:val="6"/>
    <w:link w:val="2"/>
    <w:autoRedefine/>
    <w:semiHidden/>
    <w:qFormat/>
    <w:uiPriority w:val="99"/>
    <w:rPr>
      <w:rFonts w:ascii="Times New Roman" w:hAnsi="Times New Roman" w:eastAsia="宋体" w:cs="Times New Roman"/>
      <w:sz w:val="18"/>
      <w:szCs w:val="18"/>
    </w:rPr>
  </w:style>
  <w:style w:type="paragraph" w:customStyle="1" w:styleId="10">
    <w:name w:val="Normal Indent1"/>
    <w:autoRedefine/>
    <w:qFormat/>
    <w:uiPriority w:val="0"/>
    <w:pPr>
      <w:widowControl w:val="0"/>
      <w:spacing w:line="360" w:lineRule="auto"/>
      <w:ind w:firstLine="200" w:firstLineChars="200"/>
      <w:jc w:val="both"/>
    </w:pPr>
    <w:rPr>
      <w:rFonts w:ascii="Times New Roman" w:hAnsi="Times New Roman" w:eastAsia="宋体" w:cs="宋体"/>
      <w:kern w:val="2"/>
      <w:sz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0</TotalTime>
  <ScaleCrop>false</ScaleCrop>
  <LinksUpToDate>false</LinksUpToDate>
  <CharactersWithSpaces>270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包黑小王纸最爱小公举</cp:lastModifiedBy>
  <cp:lastPrinted>2018-10-25T10:57:00Z</cp:lastPrinted>
  <dcterms:modified xsi:type="dcterms:W3CDTF">2024-04-04T07:51:52Z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FB67A41AC2964622A76BD01F511208C3_13</vt:lpwstr>
  </property>
</Properties>
</file>