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pacing w:line="480" w:lineRule="exact"/>
        <w:ind w:firstLine="450" w:firstLineChars="150"/>
        <w:textAlignment w:val="auto"/>
        <w:rPr>
          <w:rFonts w:hint="eastAsia" w:ascii="仿宋_GB2312" w:eastAsia="仿宋_GB2312"/>
          <w:sz w:val="30"/>
          <w:szCs w:val="30"/>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r>
        <w:rPr>
          <w:rFonts w:hint="eastAsia" w:ascii="仿宋_GB2312" w:eastAsia="仿宋_GB2312"/>
          <w:sz w:val="32"/>
          <w:szCs w:val="32"/>
        </w:rPr>
        <w:t xml:space="preserve">     </w:t>
      </w: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（9）对外联谊活动经费。加强与兄弟县市政协之间的学习与交流，促进本县各项事业的发展，预算金额较合理，可以实施项目支出。因公出境5批次，参加人数约7人次，</w:t>
      </w:r>
      <w:r>
        <w:rPr>
          <w:rFonts w:hint="eastAsia" w:ascii="仿宋_GB2312" w:hAnsi="仿宋_GB2312" w:eastAsia="仿宋_GB2312" w:cs="仿宋_GB2312"/>
          <w:color w:val="auto"/>
          <w:sz w:val="32"/>
          <w:szCs w:val="32"/>
          <w:lang w:val="en-US" w:eastAsia="zh-CN"/>
        </w:rPr>
        <w:t>走访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港区</w:t>
      </w:r>
      <w:r>
        <w:rPr>
          <w:rFonts w:hint="eastAsia" w:ascii="仿宋_GB2312" w:hAnsi="仿宋_GB2312" w:eastAsia="仿宋_GB2312" w:cs="仿宋_GB2312"/>
          <w:color w:val="auto"/>
          <w:sz w:val="32"/>
          <w:szCs w:val="32"/>
          <w:lang w:val="en-US" w:eastAsia="zh-CN"/>
        </w:rPr>
        <w:t>政协委员和乳源乡贤，旗帜鲜明宣传落实“一国两制”伟大实践，支持特区政府依法施政，坚定维护香港长期繁荣稳定，和衷共济、同心同德，推动爱国爱港力量不断发展壮大，团结凝聚更多在港乡贤关心、支持乳源经济社会高质量发展。</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（9）对外联谊活动经费。加强与兄弟县市政协之间的学习与交流，促进本县各项事业的发展，预算金额较合理，可以实施项目支出。因公出境5批次，参加人数约7人次，</w:t>
      </w:r>
      <w:r>
        <w:rPr>
          <w:rFonts w:hint="eastAsia" w:ascii="仿宋_GB2312" w:hAnsi="仿宋_GB2312" w:eastAsia="仿宋_GB2312" w:cs="仿宋_GB2312"/>
          <w:color w:val="auto"/>
          <w:sz w:val="32"/>
          <w:szCs w:val="32"/>
          <w:lang w:val="en-US" w:eastAsia="zh-CN"/>
        </w:rPr>
        <w:t>走访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港区</w:t>
      </w:r>
      <w:r>
        <w:rPr>
          <w:rFonts w:hint="eastAsia" w:ascii="仿宋_GB2312" w:hAnsi="仿宋_GB2312" w:eastAsia="仿宋_GB2312" w:cs="仿宋_GB2312"/>
          <w:color w:val="auto"/>
          <w:sz w:val="32"/>
          <w:szCs w:val="32"/>
          <w:lang w:val="en-US" w:eastAsia="zh-CN"/>
        </w:rPr>
        <w:t>政协委员和乳源乡贤，旗帜鲜明宣传落实“一国两制”伟大实践，支持特区政府依法施政，坚定维护香港长期繁荣稳定，和衷共济、同心同德，推动爱国爱港力量不断发展壮大，团结凝聚更多在港乡贤关心、支持乳源经济社会高质量发展。</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政协对外联谊活动经费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项目自评分数是:91分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政协对外联谊活动经费。完成预算资金支出，支出完成项目实施绩效评价，自评优等。</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r>
        <w:rPr>
          <w:rFonts w:hint="eastAsia" w:ascii="仿宋_GB2312" w:eastAsia="仿宋_GB2312"/>
          <w:sz w:val="32"/>
          <w:szCs w:val="32"/>
          <w:lang w:val="en-US" w:eastAsia="zh-CN"/>
        </w:rPr>
        <w:t xml:space="preserve">    </w:t>
      </w:r>
      <w:bookmarkStart w:id="0" w:name="_GoBack"/>
      <w:bookmarkEnd w:id="0"/>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7D1073"/>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AD4290"/>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577DD"/>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C341ED"/>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9D291E"/>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E838A2"/>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2E2704"/>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AF6748"/>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246ACF"/>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BD544A"/>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