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附件2：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《乳源瑶族自治县声环境功能区划方案（2023年版）（征求意见稿）》起草说明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一、区划起草背景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近期，《乳源瑶族自治县国土空间总体规划（2021-2035年）》通过韶关市国土空间规划委员会审议，正在按程序报审报批。由于中心城区国土空间总体规划与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乳源瑶族自治县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城市总体规划（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0年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在中心城区范围、土地利用及城市综合交通等规划方面有较大的变动，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影响城市声环境质量的要素均有明显改变，现行的声环境功能区已不适应当前声环境管理工作的需求，亟需进行调整。根据《中华人民共和国环境噪声污染防治法》、《声环境质量标准》（GB3096-2008）的有关规定，以《声环境功能区划分技术规范》（GB/T15190-2014）为依据，结合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乳源瑶族自治县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国土空间总体规划（202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-2035年）》和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中心城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区的实际情况，并参考城市环境噪声管理有关的要求，对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乳源瑶族自治县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中心城区规划范围内的声环境质量功能区划进行调整划分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以适应城市发展和保障市民享有良好的声环境的需要。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bookmarkStart w:id="0" w:name="_Toc8447"/>
      <w:bookmarkStart w:id="1" w:name="_Toc3056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二、区划依据</w:t>
      </w:r>
      <w:bookmarkEnd w:id="0"/>
      <w:bookmarkEnd w:id="1"/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bookmarkStart w:id="2" w:name="_Toc31794"/>
      <w:bookmarkStart w:id="3" w:name="_Toc29495"/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法律法规</w:t>
      </w:r>
      <w:bookmarkEnd w:id="2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《中华人民共和国环境保护法》；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《中华人民共和国噪声污染防治法》；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《广东省环境保护条例》；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《铁路运输安全保护条例》；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《广东省高速公路管理条例（修正）》；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《关于加强和规范声环境功能区划分管理工作的通知》（环办大气函〔2017〕1709号）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声环境功能区划分情况评估工作方案》(环办便函〔2023〕98号）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加强噪声监测工作的意见》（环办监测〔2023〕2号）</w:t>
      </w:r>
      <w:r>
        <w:rPr>
          <w:rFonts w:hint="eastAsia" w:eastAsia="仿宋"/>
          <w:color w:val="auto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bookmarkStart w:id="4" w:name="_Toc14083"/>
      <w:bookmarkStart w:id="5" w:name="_Toc26299"/>
      <w:bookmarkStart w:id="6" w:name="_Toc21676"/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相关标准和技术规范</w:t>
      </w:r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《声环境质量标准》（GB3096-2008）；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《声环境功能区划分技术规范》（GB/T15190-2014）；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《铁路边界噪声限值及其测量方法》（GB12525-90）；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《城市用地分类与规划建设用地标准》（GB50137-2011）；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《国土空间调查、规划、用途管制用地用海分类指南（试行）》（自然资办发[2020]51 号）》；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广东省国土空间规划数据治理指南（试行）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》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bookmarkStart w:id="7" w:name="_Toc14160"/>
      <w:bookmarkStart w:id="8" w:name="_Toc21873"/>
      <w:bookmarkStart w:id="9" w:name="_Toc4272"/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相关规划</w:t>
      </w:r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乳源瑶族自治县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国土空间总体规划（2021-2035年）》；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乳源瑶族自治县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声环境功能区划方案（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乳府办〔2023〕3号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》。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bookmarkStart w:id="10" w:name="_Toc12577"/>
      <w:bookmarkStart w:id="11" w:name="_Toc223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三、区划原则</w:t>
      </w:r>
      <w:bookmarkEnd w:id="10"/>
      <w:bookmarkEnd w:id="11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（1）有效控制噪声污染的程度和范围，提高声环境质量，保障居民正常的生活、学习和工作场所的安静。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中心城区国土空间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总体规划为指导，重点考虑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区域规划用地的主导功能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和用地现状，按照规划用地性质、用地现状、声环境质量现状和现状声环境功能区，科学划定声环境功能类别。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（3）遵循城乡建设和发展的客观规律，因地制宜，统筹兼顾，综合部署，有利于环境噪声管理和促进噪声治理。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（4）依据区划方法确定各个区划单元的声环境功能区类别，用地现状与城市总体规划用途相差较大的区域，以用地现状作为依据。对相同类型区划单元，声环境功能区类别应保持一致。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（5）交通干线建设规划未实施前按照当前声环境功能区类别管理，规划实施后实时调整为4类区。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（6）城市区域声环境功能区划分要充分考虑城市生态性原则、经济性原则和可持续发展原则，充分利用城市行政区划及自然地貌，有利于城市规划的实施。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（7）城市区域声环境功能区划分坚持以宏观控制为主，宜粗不宜细，宜大不宜小。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四、区划技术说明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0" w:firstLineChars="200"/>
        <w:jc w:val="left"/>
        <w:textAlignment w:val="auto"/>
        <w:rPr>
          <w:rFonts w:eastAsia="仿宋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声环境功能区划定以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中心城区国土空间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总体规划为指导，重点考虑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区域规划用地的主导功能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和用地现状，按照规划用地性质、用地现状、声环境质量现状和现状声环境功能区，科学划定声环境功能类别。以中心城区土地利用规划（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）为主要依据，对与规划目标相差较大的区域，实地调研后，以用地现状作为区划的主要依据，随着城市规划的逐步实现，按每5年调整一次的频率及时调整声环境功能区；未建成的规划区内，按其规划性质或按区域声环境质量现状，结合可能的发展划定区域类型。本次声环境功能划定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中心城区国土空间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总体规划为基础，结合实际情况划定声环境功能区范围和类别，随着城市发展，及时修订或调整声环境功能区划，符合城市发展的规律，与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中心城区国土空间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总体规划协调一致。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420" w:firstLineChars="200"/>
        <w:jc w:val="left"/>
        <w:textAlignment w:val="auto"/>
        <w:rPr>
          <w:rFonts w:hint="eastAsia"/>
          <w:lang w:val="en-US" w:eastAsia="zh-CN"/>
        </w:rPr>
      </w:pPr>
      <w:bookmarkStart w:id="12" w:name="_GoBack"/>
      <w:bookmarkEnd w:id="12"/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15E68"/>
    <w:multiLevelType w:val="multilevel"/>
    <w:tmpl w:val="0D715E68"/>
    <w:lvl w:ilvl="0" w:tentative="0">
      <w:start w:val="1"/>
      <w:numFmt w:val="chineseCountingThousand"/>
      <w:pStyle w:val="4"/>
      <w:lvlText w:val="(%1)"/>
      <w:lvlJc w:val="left"/>
      <w:pPr>
        <w:ind w:left="78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">
    <w:nsid w:val="387C28C3"/>
    <w:multiLevelType w:val="multilevel"/>
    <w:tmpl w:val="387C28C3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700"/>
        </w:tabs>
        <w:ind w:left="7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120"/>
        </w:tabs>
        <w:ind w:left="1120" w:hanging="420"/>
      </w:pPr>
    </w:lvl>
    <w:lvl w:ilvl="3" w:tentative="0">
      <w:start w:val="1"/>
      <w:numFmt w:val="decimal"/>
      <w:lvlText w:val="%4."/>
      <w:lvlJc w:val="left"/>
      <w:pPr>
        <w:tabs>
          <w:tab w:val="left" w:pos="1540"/>
        </w:tabs>
        <w:ind w:left="15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960"/>
        </w:tabs>
        <w:ind w:left="19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80"/>
        </w:tabs>
        <w:ind w:left="2380" w:hanging="420"/>
      </w:pPr>
    </w:lvl>
    <w:lvl w:ilvl="6" w:tentative="0">
      <w:start w:val="1"/>
      <w:numFmt w:val="decimal"/>
      <w:lvlText w:val="%7."/>
      <w:lvlJc w:val="left"/>
      <w:pPr>
        <w:tabs>
          <w:tab w:val="left" w:pos="2800"/>
        </w:tabs>
        <w:ind w:left="28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220"/>
        </w:tabs>
        <w:ind w:left="32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640"/>
        </w:tabs>
        <w:ind w:left="3640" w:hanging="420"/>
      </w:pPr>
    </w:lvl>
  </w:abstractNum>
  <w:abstractNum w:abstractNumId="2">
    <w:nsid w:val="5DFF44B0"/>
    <w:multiLevelType w:val="multilevel"/>
    <w:tmpl w:val="5DFF44B0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decimal"/>
      <w:lvlText w:val="(%2)"/>
      <w:lvlJc w:val="left"/>
      <w:pPr>
        <w:tabs>
          <w:tab w:val="left" w:pos="700"/>
        </w:tabs>
        <w:ind w:left="7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20"/>
        </w:tabs>
        <w:ind w:left="1120" w:hanging="420"/>
      </w:pPr>
    </w:lvl>
    <w:lvl w:ilvl="3" w:tentative="0">
      <w:start w:val="1"/>
      <w:numFmt w:val="decimal"/>
      <w:lvlText w:val="%4."/>
      <w:lvlJc w:val="left"/>
      <w:pPr>
        <w:tabs>
          <w:tab w:val="left" w:pos="1540"/>
        </w:tabs>
        <w:ind w:left="15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960"/>
        </w:tabs>
        <w:ind w:left="19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80"/>
        </w:tabs>
        <w:ind w:left="2380" w:hanging="420"/>
      </w:pPr>
    </w:lvl>
    <w:lvl w:ilvl="6" w:tentative="0">
      <w:start w:val="1"/>
      <w:numFmt w:val="decimal"/>
      <w:lvlText w:val="%7."/>
      <w:lvlJc w:val="left"/>
      <w:pPr>
        <w:tabs>
          <w:tab w:val="left" w:pos="2800"/>
        </w:tabs>
        <w:ind w:left="28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220"/>
        </w:tabs>
        <w:ind w:left="32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640"/>
        </w:tabs>
        <w:ind w:left="3640" w:hanging="420"/>
      </w:pPr>
    </w:lvl>
  </w:abstractNum>
  <w:abstractNum w:abstractNumId="3">
    <w:nsid w:val="6F9F7AE2"/>
    <w:multiLevelType w:val="multilevel"/>
    <w:tmpl w:val="6F9F7AE2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tabs>
          <w:tab w:val="left" w:pos="1000"/>
        </w:tabs>
        <w:ind w:left="100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120"/>
        </w:tabs>
        <w:ind w:left="1120" w:hanging="420"/>
      </w:pPr>
    </w:lvl>
    <w:lvl w:ilvl="3" w:tentative="0">
      <w:start w:val="1"/>
      <w:numFmt w:val="decimal"/>
      <w:lvlText w:val="%4."/>
      <w:lvlJc w:val="left"/>
      <w:pPr>
        <w:tabs>
          <w:tab w:val="left" w:pos="1540"/>
        </w:tabs>
        <w:ind w:left="15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960"/>
        </w:tabs>
        <w:ind w:left="19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80"/>
        </w:tabs>
        <w:ind w:left="2380" w:hanging="420"/>
      </w:pPr>
    </w:lvl>
    <w:lvl w:ilvl="6" w:tentative="0">
      <w:start w:val="1"/>
      <w:numFmt w:val="decimal"/>
      <w:lvlText w:val="%7."/>
      <w:lvlJc w:val="left"/>
      <w:pPr>
        <w:tabs>
          <w:tab w:val="left" w:pos="2800"/>
        </w:tabs>
        <w:ind w:left="28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220"/>
        </w:tabs>
        <w:ind w:left="32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640"/>
        </w:tabs>
        <w:ind w:left="36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GYzNTIyZWQzYjQ3NjEwNjNjOGQ1YmZkZjA1NDEifQ=="/>
  </w:docVars>
  <w:rsids>
    <w:rsidRoot w:val="736D4E79"/>
    <w:rsid w:val="04550B63"/>
    <w:rsid w:val="0AE61DC4"/>
    <w:rsid w:val="0B5C5BE2"/>
    <w:rsid w:val="0B973E91"/>
    <w:rsid w:val="11036AF6"/>
    <w:rsid w:val="134D130F"/>
    <w:rsid w:val="135B5D51"/>
    <w:rsid w:val="178209FA"/>
    <w:rsid w:val="19383B62"/>
    <w:rsid w:val="1C4A18D8"/>
    <w:rsid w:val="1F720C23"/>
    <w:rsid w:val="204A3B16"/>
    <w:rsid w:val="21B037EE"/>
    <w:rsid w:val="22893F69"/>
    <w:rsid w:val="2BE52487"/>
    <w:rsid w:val="2DBE5027"/>
    <w:rsid w:val="33022C64"/>
    <w:rsid w:val="37B4116F"/>
    <w:rsid w:val="3A2A021E"/>
    <w:rsid w:val="3AAB6C4F"/>
    <w:rsid w:val="3DEC38A8"/>
    <w:rsid w:val="3E8F1850"/>
    <w:rsid w:val="3EAA0624"/>
    <w:rsid w:val="3F83115D"/>
    <w:rsid w:val="40222DFF"/>
    <w:rsid w:val="45A52139"/>
    <w:rsid w:val="4F791EF0"/>
    <w:rsid w:val="545D4AA3"/>
    <w:rsid w:val="548E0C37"/>
    <w:rsid w:val="57541BF2"/>
    <w:rsid w:val="59464DA9"/>
    <w:rsid w:val="5B336205"/>
    <w:rsid w:val="5DC25383"/>
    <w:rsid w:val="606C00AE"/>
    <w:rsid w:val="63E47698"/>
    <w:rsid w:val="68C33D20"/>
    <w:rsid w:val="690B47A2"/>
    <w:rsid w:val="6ACC66C6"/>
    <w:rsid w:val="6BD80588"/>
    <w:rsid w:val="6C236C77"/>
    <w:rsid w:val="72F8122F"/>
    <w:rsid w:val="736D4E79"/>
    <w:rsid w:val="75482501"/>
    <w:rsid w:val="7C99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line="592" w:lineRule="exact"/>
      <w:outlineLvl w:val="1"/>
    </w:pPr>
    <w:rPr>
      <w:rFonts w:eastAsia="仿宋_GB2312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3"/>
    <w:qFormat/>
    <w:uiPriority w:val="0"/>
    <w:pPr>
      <w:spacing w:line="500" w:lineRule="exact"/>
      <w:ind w:right="26" w:rightChars="8" w:firstLine="640"/>
    </w:pPr>
    <w:rPr>
      <w:rFonts w:ascii="楷体_GB2312" w:hAnsi="Times New Roman" w:eastAsia="楷体_GB2312"/>
      <w:szCs w:val="32"/>
    </w:rPr>
  </w:style>
  <w:style w:type="paragraph" w:customStyle="1" w:styleId="3">
    <w:name w:val="正文 New New New New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  <w:ind w:rightChars="-376"/>
    </w:pPr>
    <w:rPr>
      <w:szCs w:val="2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ind w:rightChars="-376"/>
      <w:jc w:val="left"/>
    </w:pPr>
    <w:rPr>
      <w:rFonts w:ascii="宋体" w:hAnsi="宋体"/>
      <w:kern w:val="0"/>
      <w:sz w:val="24"/>
    </w:rPr>
  </w:style>
  <w:style w:type="paragraph" w:customStyle="1" w:styleId="12">
    <w:name w:val="_Style 1"/>
    <w:basedOn w:val="1"/>
    <w:next w:val="1"/>
    <w:qFormat/>
    <w:uiPriority w:val="0"/>
    <w:pPr>
      <w:spacing w:line="580" w:lineRule="exact"/>
      <w:ind w:firstLine="420" w:firstLineChars="200"/>
    </w:pPr>
    <w:rPr>
      <w:rFonts w:cs="Times New Roman"/>
      <w:sz w:val="32"/>
    </w:rPr>
  </w:style>
  <w:style w:type="character" w:customStyle="1" w:styleId="13">
    <w:name w:val="p51"/>
    <w:qFormat/>
    <w:uiPriority w:val="0"/>
    <w:rPr>
      <w:rFonts w:hint="eastAsia" w:ascii="ΟGB2312" w:eastAsia="ΟGB2312"/>
      <w:sz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1742</Words>
  <Characters>1911</Characters>
  <Lines>0</Lines>
  <Paragraphs>0</Paragraphs>
  <TotalTime>4</TotalTime>
  <ScaleCrop>false</ScaleCrop>
  <LinksUpToDate>false</LinksUpToDate>
  <CharactersWithSpaces>1912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2022-09-23T00:35:00Z</dcterms:created>
  <dc:creator>蒙证尹</dc:creator>
  <cp:lastModifiedBy>艳阳天</cp:lastModifiedBy>
  <dcterms:modified xsi:type="dcterms:W3CDTF">2023-11-07T09:30:26Z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EC4D981078EB4A8FB1E9BD3CCDDC347B</vt:lpwstr>
  </property>
</Properties>
</file>