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w:t>
      </w:r>
      <w:bookmarkStart w:id="0" w:name="_GoBack"/>
      <w:bookmarkEnd w:id="0"/>
      <w:r>
        <w:rPr>
          <w:rFonts w:hint="eastAsia" w:ascii="仿宋_GB2312" w:eastAsia="仿宋_GB2312"/>
          <w:sz w:val="32"/>
          <w:szCs w:val="32"/>
          <w:lang w:val="en-US" w:eastAsia="zh-CN"/>
        </w:rPr>
        <w:t>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numPr>
          <w:ilvl w:val="0"/>
          <w:numId w:val="0"/>
        </w:numPr>
        <w:spacing w:line="360" w:lineRule="auto"/>
        <w:ind w:firstLine="640" w:firstLineChars="200"/>
        <w:rPr>
          <w:rFonts w:hint="eastAsia" w:ascii="仿宋_GB2312" w:hAnsi="仿宋_GB2312" w:eastAsia="仿宋_GB2312" w:cs="仿宋_GB2312"/>
          <w:spacing w:val="-9"/>
          <w:sz w:val="32"/>
          <w:szCs w:val="32"/>
          <w:lang w:val="en-US" w:eastAsia="zh-CN"/>
        </w:rPr>
      </w:pPr>
      <w:r>
        <w:rPr>
          <w:rFonts w:hint="eastAsia" w:ascii="仿宋_GB2312" w:eastAsia="仿宋_GB2312"/>
          <w:sz w:val="32"/>
          <w:szCs w:val="32"/>
          <w:lang w:val="en-US" w:eastAsia="zh-CN"/>
        </w:rPr>
        <w:t>2021年县财政下达的</w:t>
      </w:r>
      <w:r>
        <w:rPr>
          <w:rFonts w:hint="eastAsia" w:ascii="仿宋_GB2312" w:eastAsia="仿宋_GB2312"/>
          <w:sz w:val="32"/>
          <w:szCs w:val="32"/>
        </w:rPr>
        <w:t>农村籍退役士兵老年生活补助</w:t>
      </w:r>
      <w:r>
        <w:rPr>
          <w:rFonts w:hint="eastAsia" w:ascii="仿宋_GB2312" w:eastAsia="仿宋_GB2312"/>
          <w:sz w:val="32"/>
          <w:szCs w:val="32"/>
          <w:lang w:eastAsia="zh-CN"/>
        </w:rPr>
        <w:t>资金</w:t>
      </w:r>
      <w:r>
        <w:rPr>
          <w:rFonts w:hint="eastAsia" w:ascii="仿宋_GB2312" w:eastAsia="仿宋_GB2312"/>
          <w:sz w:val="32"/>
          <w:szCs w:val="32"/>
          <w:lang w:val="en-US" w:eastAsia="zh-CN"/>
        </w:rPr>
        <w:t>10000元，</w:t>
      </w:r>
      <w:r>
        <w:rPr>
          <w:rFonts w:hint="eastAsia" w:ascii="仿宋_GB2312" w:hAnsi="仿宋_GB2312" w:eastAsia="仿宋_GB2312" w:cs="仿宋_GB2312"/>
          <w:spacing w:val="-9"/>
          <w:sz w:val="32"/>
          <w:szCs w:val="32"/>
          <w:lang w:val="en-US" w:eastAsia="zh-CN"/>
        </w:rPr>
        <w:t>主要用于乳源县</w:t>
      </w:r>
      <w:r>
        <w:rPr>
          <w:rFonts w:hint="eastAsia" w:ascii="仿宋_GB2312" w:eastAsia="仿宋_GB2312"/>
          <w:sz w:val="32"/>
          <w:szCs w:val="32"/>
        </w:rPr>
        <w:t>农村籍退役士兵老年生活补助</w:t>
      </w:r>
      <w:r>
        <w:rPr>
          <w:rFonts w:hint="eastAsia" w:ascii="仿宋_GB2312" w:hAnsi="仿宋_GB2312" w:eastAsia="仿宋_GB2312" w:cs="仿宋_GB2312"/>
          <w:spacing w:val="-9"/>
          <w:sz w:val="32"/>
          <w:szCs w:val="32"/>
          <w:lang w:val="en-US" w:eastAsia="zh-CN"/>
        </w:rPr>
        <w:t>。项目资金主要是为确保优抚对象生活不低于当地的平均生活水平的一项补助资金。</w:t>
      </w:r>
    </w:p>
    <w:p>
      <w:pPr>
        <w:numPr>
          <w:ilvl w:val="0"/>
          <w:numId w:val="0"/>
        </w:numPr>
        <w:spacing w:line="360" w:lineRule="auto"/>
        <w:ind w:firstLine="604" w:firstLineChars="200"/>
        <w:rPr>
          <w:rFonts w:hint="default" w:ascii="仿宋_GB2312" w:eastAsia="仿宋_GB2312"/>
          <w:sz w:val="32"/>
          <w:szCs w:val="32"/>
          <w:lang w:val="en-US" w:eastAsia="zh-CN"/>
        </w:rPr>
      </w:pPr>
      <w:r>
        <w:rPr>
          <w:rFonts w:hint="eastAsia" w:ascii="仿宋_GB2312" w:hAnsi="仿宋_GB2312" w:eastAsia="仿宋_GB2312" w:cs="仿宋_GB2312"/>
          <w:spacing w:val="-9"/>
          <w:sz w:val="32"/>
          <w:szCs w:val="32"/>
          <w:lang w:val="en-US" w:eastAsia="zh-CN"/>
        </w:rPr>
        <w:t>资金使用主要是按享受定期补助的农村籍退役士兵人数</w:t>
      </w:r>
      <w:r>
        <w:rPr>
          <w:rFonts w:hint="eastAsia" w:ascii="仿宋_GB2312" w:eastAsia="仿宋_GB2312"/>
          <w:sz w:val="32"/>
          <w:szCs w:val="32"/>
          <w:lang w:eastAsia="zh-CN"/>
        </w:rPr>
        <w:t>核定发放范围，项目补助资金属专项经费，退役军人事务局严格按财务制度要求由局财务室统一管理，由业务股室造具花名册和统计表报分管领导签署意见，再报分管财务的领导审核，交局财务室统一报财政审批，并通过银行实行社会化发放，保证了政策的有效落实。</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r>
        <w:rPr>
          <w:rFonts w:hint="eastAsia" w:ascii="仿宋_GB2312" w:eastAsia="仿宋_GB2312"/>
          <w:sz w:val="32"/>
          <w:szCs w:val="32"/>
          <w:lang w:eastAsia="zh-CN"/>
        </w:rPr>
        <w:t>农村籍退役士兵老年生活补助资金评价得分为</w:t>
      </w:r>
      <w:r>
        <w:rPr>
          <w:rFonts w:hint="eastAsia" w:ascii="仿宋_GB2312" w:eastAsia="仿宋_GB2312"/>
          <w:sz w:val="32"/>
          <w:szCs w:val="32"/>
          <w:lang w:val="en-US" w:eastAsia="zh-CN"/>
        </w:rPr>
        <w:t>100分。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资金使用绩效良好，按规定支出，取得预期成效。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10000元</w:t>
      </w:r>
      <w:r>
        <w:rPr>
          <w:rFonts w:hint="eastAsia" w:ascii="仿宋_GB2312" w:hAnsi="仿宋_GB2312" w:eastAsia="仿宋_GB2312"/>
          <w:sz w:val="32"/>
          <w:szCs w:val="32"/>
        </w:rPr>
        <w:t>。</w:t>
      </w:r>
    </w:p>
    <w:p>
      <w:pPr>
        <w:spacing w:line="360" w:lineRule="auto"/>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10000</w:t>
      </w:r>
      <w:r>
        <w:rPr>
          <w:rFonts w:hint="eastAsia" w:ascii="仿宋_GB2312" w:hAnsi="Times New Roman" w:eastAsia="仿宋_GB2312" w:cs="Times New Roman"/>
          <w:kern w:val="2"/>
          <w:sz w:val="32"/>
          <w:szCs w:val="32"/>
          <w:lang w:val="en-US" w:eastAsia="zh-CN" w:bidi="ar-SA"/>
        </w:rPr>
        <w:t>元，</w:t>
      </w:r>
      <w:r>
        <w:rPr>
          <w:rFonts w:hint="eastAsia" w:ascii="仿宋_GB2312" w:eastAsia="仿宋_GB2312"/>
          <w:sz w:val="32"/>
          <w:szCs w:val="32"/>
        </w:rPr>
        <w:t>农村籍退役士兵老年生活</w:t>
      </w:r>
      <w:r>
        <w:rPr>
          <w:rFonts w:hint="eastAsia" w:ascii="仿宋_GB2312" w:hAnsi="Times New Roman" w:eastAsia="仿宋_GB2312" w:cs="Times New Roman"/>
          <w:kern w:val="2"/>
          <w:sz w:val="32"/>
          <w:szCs w:val="32"/>
          <w:lang w:val="en-US" w:eastAsia="zh-CN" w:bidi="ar-SA"/>
        </w:rPr>
        <w:t>补助标准为每服一年义务兵役（不满一年的按一年计算），每人每月</w:t>
      </w:r>
      <w:r>
        <w:rPr>
          <w:rFonts w:hint="eastAsia" w:ascii="仿宋_GB2312" w:eastAsia="仿宋_GB2312" w:cs="Times New Roman"/>
          <w:kern w:val="2"/>
          <w:sz w:val="32"/>
          <w:szCs w:val="32"/>
          <w:lang w:val="en-US" w:eastAsia="zh-CN" w:bidi="ar-SA"/>
        </w:rPr>
        <w:t>按标准发放，逐年提高</w:t>
      </w:r>
      <w:r>
        <w:rPr>
          <w:rFonts w:hint="eastAsia" w:ascii="仿宋_GB2312" w:hAnsi="Times New Roman" w:eastAsia="仿宋_GB2312" w:cs="Times New Roman"/>
          <w:kern w:val="2"/>
          <w:sz w:val="32"/>
          <w:szCs w:val="32"/>
          <w:lang w:val="en-US" w:eastAsia="zh-CN" w:bidi="ar-SA"/>
        </w:rPr>
        <w:t>。</w:t>
      </w:r>
    </w:p>
    <w:p>
      <w:pPr>
        <w:spacing w:line="360" w:lineRule="auto"/>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3、项目的绩效目标完成情况（经济、政治和社会效益）。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通过发放农村籍退役士兵老年生活补助资金，确保农村籍退役士兵等人员生活水平与经济社会发展水平相适应</w:t>
      </w:r>
      <w:r>
        <w:rPr>
          <w:rFonts w:hint="eastAsia" w:ascii="仿宋_GB2312" w:eastAsia="仿宋_GB2312" w:cs="Times New Roman"/>
          <w:kern w:val="2"/>
          <w:sz w:val="32"/>
          <w:szCs w:val="32"/>
          <w:lang w:val="en-US" w:eastAsia="zh-CN" w:bidi="ar-SA"/>
        </w:rPr>
        <w:t>，</w:t>
      </w:r>
      <w:r>
        <w:rPr>
          <w:rFonts w:hint="eastAsia" w:ascii="仿宋_GB2312" w:hAnsi="仿宋_GB2312" w:eastAsia="仿宋_GB2312"/>
          <w:sz w:val="32"/>
          <w:szCs w:val="32"/>
          <w:lang w:val="en-US" w:eastAsia="zh-CN"/>
        </w:rPr>
        <w:t>充分保障</w:t>
      </w:r>
      <w:r>
        <w:rPr>
          <w:rFonts w:hint="eastAsia" w:ascii="仿宋_GB2312" w:hAnsi="Times New Roman" w:eastAsia="仿宋_GB2312" w:cs="Times New Roman"/>
          <w:kern w:val="2"/>
          <w:sz w:val="32"/>
          <w:szCs w:val="32"/>
          <w:lang w:val="en-US" w:eastAsia="zh-CN" w:bidi="ar-SA"/>
        </w:rPr>
        <w:t>农村籍退役士兵</w:t>
      </w:r>
      <w:r>
        <w:rPr>
          <w:rFonts w:hint="eastAsia" w:ascii="仿宋_GB2312" w:hAnsi="仿宋_GB2312" w:eastAsia="仿宋_GB2312"/>
          <w:sz w:val="32"/>
          <w:szCs w:val="32"/>
          <w:lang w:val="en-US" w:eastAsia="zh-CN"/>
        </w:rPr>
        <w:t>基本生活</w:t>
      </w:r>
      <w:r>
        <w:rPr>
          <w:rFonts w:hint="eastAsia" w:ascii="仿宋_GB2312" w:hAnsi="仿宋_GB2312" w:eastAsia="仿宋_GB2312"/>
          <w:sz w:val="32"/>
          <w:szCs w:val="32"/>
        </w:rPr>
        <w:t>。</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保障</w:t>
      </w:r>
      <w:r>
        <w:rPr>
          <w:rFonts w:hint="eastAsia" w:ascii="仿宋_GB2312" w:hAnsi="Times New Roman" w:eastAsia="仿宋_GB2312" w:cs="Times New Roman"/>
          <w:kern w:val="2"/>
          <w:sz w:val="32"/>
          <w:szCs w:val="32"/>
          <w:lang w:val="en-US" w:eastAsia="zh-CN" w:bidi="ar-SA"/>
        </w:rPr>
        <w:t>农村籍退役士</w:t>
      </w:r>
      <w:r>
        <w:rPr>
          <w:rFonts w:hint="eastAsia" w:ascii="仿宋_GB2312" w:hAnsi="仿宋_GB2312" w:eastAsia="仿宋_GB2312"/>
          <w:sz w:val="32"/>
          <w:szCs w:val="32"/>
        </w:rPr>
        <w:t>的基本生活，</w:t>
      </w:r>
      <w:r>
        <w:rPr>
          <w:rFonts w:hint="eastAsia" w:ascii="仿宋_GB2312" w:hAnsi="仿宋_GB2312" w:eastAsia="仿宋_GB2312"/>
          <w:sz w:val="32"/>
          <w:szCs w:val="32"/>
          <w:lang w:eastAsia="zh-CN"/>
        </w:rPr>
        <w:t>维护社会稳定，效果显著。</w:t>
      </w:r>
      <w:r>
        <w:rPr>
          <w:rFonts w:hint="eastAsia" w:ascii="仿宋_GB2312" w:hAnsi="Times New Roman" w:eastAsia="仿宋_GB2312" w:cs="Times New Roman"/>
          <w:kern w:val="2"/>
          <w:sz w:val="32"/>
          <w:szCs w:val="32"/>
          <w:lang w:val="en-US" w:eastAsia="zh-CN" w:bidi="ar-SA"/>
        </w:rPr>
        <w:t>农村籍退役士</w:t>
      </w:r>
      <w:r>
        <w:rPr>
          <w:rFonts w:hint="eastAsia" w:ascii="仿宋_GB2312" w:hAnsi="仿宋_GB2312" w:eastAsia="仿宋_GB2312"/>
          <w:sz w:val="32"/>
          <w:szCs w:val="32"/>
          <w:lang w:eastAsia="zh-CN"/>
        </w:rPr>
        <w:t>满意度为</w:t>
      </w:r>
      <w:r>
        <w:rPr>
          <w:rFonts w:hint="eastAsia" w:ascii="仿宋_GB2312" w:hAnsi="仿宋_GB2312" w:eastAsia="仿宋_GB2312"/>
          <w:sz w:val="32"/>
          <w:szCs w:val="32"/>
          <w:lang w:val="en-US" w:eastAsia="zh-CN"/>
        </w:rPr>
        <w:t>100%。</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2022年4月8日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A75785"/>
    <w:multiLevelType w:val="singleLevel"/>
    <w:tmpl w:val="21A75785"/>
    <w:lvl w:ilvl="0" w:tentative="0">
      <w:start w:val="4"/>
      <w:numFmt w:val="decimal"/>
      <w:suff w:val="nothing"/>
      <w:lvlText w:val="%1、"/>
      <w:lvlJc w:val="left"/>
    </w:lvl>
  </w:abstractNum>
  <w:abstractNum w:abstractNumId="1">
    <w:nsid w:val="316CEE2D"/>
    <w:multiLevelType w:val="singleLevel"/>
    <w:tmpl w:val="316CEE2D"/>
    <w:lvl w:ilvl="0" w:tentative="0">
      <w:start w:val="2"/>
      <w:numFmt w:val="chineseCounting"/>
      <w:suff w:val="nothing"/>
      <w:lvlText w:val="（%1）"/>
      <w:lvlJc w:val="left"/>
      <w:rPr>
        <w:rFonts w:hint="eastAsia"/>
      </w:rPr>
    </w:lvl>
  </w:abstractNum>
  <w:abstractNum w:abstractNumId="2">
    <w:nsid w:val="7E0F6451"/>
    <w:multiLevelType w:val="singleLevel"/>
    <w:tmpl w:val="7E0F6451"/>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68A32A3"/>
    <w:rsid w:val="1BEA0FB0"/>
    <w:rsid w:val="2A0C3112"/>
    <w:rsid w:val="2B1A17C7"/>
    <w:rsid w:val="2D8D721C"/>
    <w:rsid w:val="39921607"/>
    <w:rsid w:val="468762A1"/>
    <w:rsid w:val="486B578C"/>
    <w:rsid w:val="518A1D39"/>
    <w:rsid w:val="5375086E"/>
    <w:rsid w:val="5F897773"/>
    <w:rsid w:val="693F36A8"/>
    <w:rsid w:val="7F4B4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1016</Words>
  <Characters>1039</Characters>
  <Lines>1</Lines>
  <Paragraphs>1</Paragraphs>
  <TotalTime>2</TotalTime>
  <ScaleCrop>false</ScaleCrop>
  <LinksUpToDate>false</LinksUpToDate>
  <CharactersWithSpaces>1076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2022-04-11T03:43:48Z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AB955D41A57B460CAF4E8592BB611E34</vt:lpwstr>
  </property>
</Properties>
</file>