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乳源瑶族自治县退役军人事务局是同级县人民政府主管社会行政事务的职能部门，正科级单位，设有办公室、就业安置与权益维护股、拥军优抚和褒扬纪念股3个职能股室和退役军人服务中心1个事业单位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numPr>
          <w:ilvl w:val="0"/>
          <w:numId w:val="0"/>
        </w:numPr>
        <w:spacing w:line="360" w:lineRule="auto"/>
        <w:ind w:firstLine="640" w:firstLineChars="200"/>
        <w:rPr>
          <w:rFonts w:hint="eastAsia" w:ascii="仿宋_GB2312" w:hAnsi="仿宋_GB2312" w:eastAsia="仿宋_GB2312" w:cs="仿宋_GB2312"/>
          <w:spacing w:val="-9"/>
          <w:sz w:val="32"/>
          <w:szCs w:val="32"/>
          <w:lang w:val="en-US" w:eastAsia="zh-CN"/>
        </w:rPr>
      </w:pPr>
      <w:r>
        <w:rPr>
          <w:rFonts w:hint="eastAsia" w:ascii="仿宋_GB2312" w:eastAsia="仿宋_GB2312"/>
          <w:sz w:val="32"/>
          <w:szCs w:val="32"/>
          <w:lang w:val="en-US" w:eastAsia="zh-CN"/>
        </w:rPr>
        <w:t>2021年县财政下达的</w:t>
      </w:r>
      <w:r>
        <w:rPr>
          <w:rFonts w:hint="eastAsia" w:ascii="仿宋_GB2312" w:eastAsia="仿宋_GB2312"/>
          <w:sz w:val="32"/>
          <w:szCs w:val="32"/>
        </w:rPr>
        <w:t>优抚“一站式”光纤费资金</w:t>
      </w:r>
      <w:r>
        <w:rPr>
          <w:rFonts w:hint="eastAsia" w:ascii="仿宋_GB2312" w:eastAsia="仿宋_GB2312"/>
          <w:sz w:val="32"/>
          <w:szCs w:val="32"/>
          <w:lang w:val="en-US" w:eastAsia="zh-CN"/>
        </w:rPr>
        <w:t>0.8万元，</w:t>
      </w:r>
      <w:r>
        <w:rPr>
          <w:rFonts w:hint="eastAsia" w:ascii="仿宋_GB2312" w:hAnsi="仿宋_GB2312" w:eastAsia="仿宋_GB2312" w:cs="仿宋_GB2312"/>
          <w:spacing w:val="-9"/>
          <w:sz w:val="32"/>
          <w:szCs w:val="32"/>
          <w:lang w:val="en-US" w:eastAsia="zh-CN"/>
        </w:rPr>
        <w:t>用于乳源县</w:t>
      </w:r>
      <w:r>
        <w:rPr>
          <w:rFonts w:hint="eastAsia" w:ascii="仿宋_GB2312" w:hAnsi="仿宋_GB2312" w:eastAsia="仿宋_GB2312" w:cs="仿宋_GB2312"/>
          <w:sz w:val="32"/>
          <w:szCs w:val="32"/>
          <w:lang w:val="en-US" w:eastAsia="zh-CN"/>
        </w:rPr>
        <w:t>优抚医疗补助“一站式”结算服务管理系统</w:t>
      </w:r>
      <w:r>
        <w:rPr>
          <w:rFonts w:hint="eastAsia" w:ascii="仿宋_GB2312" w:hAnsi="仿宋_GB2312" w:eastAsia="仿宋_GB2312" w:cs="仿宋_GB2312"/>
          <w:spacing w:val="-9"/>
          <w:sz w:val="32"/>
          <w:szCs w:val="32"/>
          <w:lang w:val="en-US" w:eastAsia="zh-CN"/>
        </w:rPr>
        <w:t>。</w:t>
      </w:r>
    </w:p>
    <w:p>
      <w:pPr>
        <w:numPr>
          <w:ilvl w:val="0"/>
          <w:numId w:val="0"/>
        </w:numPr>
        <w:spacing w:line="360" w:lineRule="auto"/>
        <w:ind w:firstLine="604" w:firstLineChars="200"/>
        <w:rPr>
          <w:rFonts w:hint="eastAsia" w:ascii="仿宋_GB2312" w:hAnsi="仿宋_GB2312" w:eastAsia="仿宋_GB2312" w:cs="仿宋_GB2312"/>
          <w:spacing w:val="-9"/>
          <w:sz w:val="32"/>
          <w:szCs w:val="32"/>
          <w:lang w:val="en-US" w:eastAsia="zh-CN"/>
        </w:rPr>
      </w:pPr>
      <w:r>
        <w:rPr>
          <w:rFonts w:hint="eastAsia" w:ascii="仿宋_GB2312" w:hAnsi="仿宋_GB2312" w:eastAsia="仿宋_GB2312" w:cs="仿宋_GB2312"/>
          <w:spacing w:val="-9"/>
          <w:sz w:val="32"/>
          <w:szCs w:val="32"/>
          <w:lang w:val="en-US" w:eastAsia="zh-CN"/>
        </w:rPr>
        <w:t>资金使用主要是</w:t>
      </w:r>
      <w:r>
        <w:rPr>
          <w:rFonts w:hint="eastAsia" w:ascii="仿宋" w:hAnsi="仿宋" w:eastAsia="仿宋" w:cs="仿宋_GB2312"/>
          <w:sz w:val="32"/>
          <w:szCs w:val="32"/>
        </w:rPr>
        <w:t>为</w:t>
      </w:r>
      <w:r>
        <w:rPr>
          <w:rFonts w:hint="eastAsia" w:ascii="仿宋" w:hAnsi="仿宋" w:eastAsia="仿宋" w:cs="仿宋_GB2312"/>
          <w:sz w:val="32"/>
          <w:szCs w:val="32"/>
          <w:lang w:val="en-US" w:eastAsia="zh-CN"/>
        </w:rPr>
        <w:t>乳源瑶族自治县优抚医疗补助“一站式”结算服务管理系统</w:t>
      </w:r>
      <w:r>
        <w:rPr>
          <w:rFonts w:hint="eastAsia" w:ascii="仿宋" w:hAnsi="仿宋" w:eastAsia="仿宋" w:cs="仿宋_GB2312"/>
          <w:sz w:val="32"/>
          <w:szCs w:val="32"/>
        </w:rPr>
        <w:t>提供良好的运行环境，</w:t>
      </w:r>
      <w:r>
        <w:rPr>
          <w:rFonts w:hint="eastAsia" w:ascii="仿宋_GB2312" w:hAnsi="仿宋_GB2312" w:eastAsia="仿宋_GB2312" w:cs="仿宋_GB2312"/>
          <w:spacing w:val="-9"/>
          <w:sz w:val="32"/>
          <w:szCs w:val="32"/>
          <w:lang w:val="en-US" w:eastAsia="zh-CN"/>
        </w:rPr>
        <w:t>方便重点优抚对象在各大中型定点医疗机构就诊时，能够及时享受优抚医疗补助。</w:t>
      </w:r>
    </w:p>
    <w:p>
      <w:pPr>
        <w:numPr>
          <w:ilvl w:val="0"/>
          <w:numId w:val="0"/>
        </w:numPr>
        <w:spacing w:line="360" w:lineRule="auto"/>
        <w:ind w:firstLine="640" w:firstLineChars="200"/>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为使优抚医疗补助“一站式”结算服务管理系统</w:t>
      </w:r>
      <w:r>
        <w:rPr>
          <w:rFonts w:hint="eastAsia" w:ascii="仿宋" w:hAnsi="仿宋" w:eastAsia="仿宋" w:cs="仿宋_GB2312"/>
          <w:sz w:val="32"/>
          <w:szCs w:val="32"/>
        </w:rPr>
        <w:t>良好的运行</w:t>
      </w:r>
      <w:r>
        <w:rPr>
          <w:rFonts w:hint="eastAsia" w:ascii="仿宋" w:hAnsi="仿宋" w:eastAsia="仿宋" w:cs="仿宋_GB2312"/>
          <w:sz w:val="32"/>
          <w:szCs w:val="32"/>
          <w:lang w:eastAsia="zh-CN"/>
        </w:rPr>
        <w:t>，退役军人事务局按照</w:t>
      </w:r>
      <w:r>
        <w:rPr>
          <w:rFonts w:hint="eastAsia" w:ascii="仿宋" w:hAnsi="仿宋" w:eastAsia="仿宋" w:cs="仿宋_GB2312"/>
          <w:sz w:val="32"/>
          <w:szCs w:val="32"/>
          <w:lang w:val="en-US" w:eastAsia="zh-CN"/>
        </w:rPr>
        <w:t>《乳源瑶族自治县优抚医疗补助“一站式”结算服务管理系统服务协议》一次性支付对方</w:t>
      </w:r>
      <w:r>
        <w:rPr>
          <w:rFonts w:hint="eastAsia" w:ascii="仿宋" w:hAnsi="仿宋" w:eastAsia="仿宋" w:cs="仿宋_GB2312"/>
          <w:sz w:val="32"/>
          <w:szCs w:val="32"/>
        </w:rPr>
        <w:t>有偿服务</w:t>
      </w:r>
      <w:r>
        <w:rPr>
          <w:rFonts w:hint="eastAsia" w:ascii="仿宋" w:hAnsi="仿宋" w:eastAsia="仿宋" w:cs="仿宋_GB2312"/>
          <w:sz w:val="32"/>
          <w:szCs w:val="32"/>
          <w:lang w:eastAsia="zh-CN"/>
        </w:rPr>
        <w:t>金。</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r>
        <w:rPr>
          <w:rFonts w:hint="eastAsia" w:ascii="仿宋_GB2312" w:eastAsia="仿宋_GB2312"/>
          <w:sz w:val="32"/>
          <w:szCs w:val="32"/>
          <w:lang w:eastAsia="zh-CN"/>
        </w:rPr>
        <w:t>农村籍退役士兵老年生活补助资金评价得分为</w:t>
      </w:r>
      <w:r>
        <w:rPr>
          <w:rFonts w:hint="eastAsia" w:ascii="仿宋_GB2312" w:eastAsia="仿宋_GB2312"/>
          <w:sz w:val="32"/>
          <w:szCs w:val="32"/>
          <w:lang w:val="en-US" w:eastAsia="zh-CN"/>
        </w:rPr>
        <w:t>100分。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资金使用绩效良好，按规定支出，取得预期成效。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0.8万元</w:t>
      </w:r>
      <w:r>
        <w:rPr>
          <w:rFonts w:hint="eastAsia" w:ascii="仿宋_GB2312" w:hAnsi="仿宋_GB2312" w:eastAsia="仿宋_GB2312"/>
          <w:sz w:val="32"/>
          <w:szCs w:val="32"/>
        </w:rPr>
        <w:t>。</w:t>
      </w:r>
    </w:p>
    <w:p>
      <w:pPr>
        <w:spacing w:line="360" w:lineRule="auto"/>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0.8万</w:t>
      </w:r>
      <w:r>
        <w:rPr>
          <w:rFonts w:hint="eastAsia" w:ascii="仿宋_GB2312" w:hAnsi="Times New Roman" w:eastAsia="仿宋_GB2312" w:cs="Times New Roman"/>
          <w:kern w:val="2"/>
          <w:sz w:val="32"/>
          <w:szCs w:val="32"/>
          <w:lang w:val="en-US" w:eastAsia="zh-CN" w:bidi="ar-SA"/>
        </w:rPr>
        <w:t>元。</w:t>
      </w:r>
    </w:p>
    <w:p>
      <w:pPr>
        <w:spacing w:line="360" w:lineRule="auto"/>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3、项目的绩效目标完成情况（经济、政治和社会效益）。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通过优抚医疗补助“一站式”结算服务管理系统方便重点优抚对象在各大中型定点医疗机构就诊时，能够及时享受优抚医疗补助。</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为优抚医疗保障资金的预算提供科学准确的信息数据，提高决策水平</w:t>
      </w:r>
      <w:r>
        <w:rPr>
          <w:rFonts w:hint="eastAsia" w:ascii="仿宋_GB2312" w:hAnsi="仿宋_GB2312" w:eastAsia="仿宋_GB2312"/>
          <w:sz w:val="32"/>
          <w:szCs w:val="32"/>
          <w:lang w:eastAsia="zh-CN"/>
        </w:rPr>
        <w:t>，更好地制定</w:t>
      </w:r>
      <w:r>
        <w:rPr>
          <w:rFonts w:hint="eastAsia" w:ascii="仿宋_GB2312" w:hAnsi="仿宋_GB2312" w:eastAsia="仿宋_GB2312"/>
          <w:sz w:val="32"/>
          <w:szCs w:val="32"/>
        </w:rPr>
        <w:t>构建与</w:t>
      </w:r>
      <w:r>
        <w:rPr>
          <w:rFonts w:hint="default" w:ascii="仿宋_GB2312" w:hAnsi="仿宋_GB2312" w:eastAsia="仿宋_GB2312"/>
          <w:sz w:val="32"/>
          <w:szCs w:val="32"/>
        </w:rPr>
        <w:fldChar w:fldCharType="begin"/>
      </w:r>
      <w:r>
        <w:rPr>
          <w:rFonts w:hint="default" w:ascii="仿宋_GB2312" w:hAnsi="仿宋_GB2312" w:eastAsia="仿宋_GB2312"/>
          <w:sz w:val="32"/>
          <w:szCs w:val="32"/>
        </w:rPr>
        <w:instrText xml:space="preserve"> HYPERLINK "https://baike.baidu.com/item/%E5%B8%82%E5%9C%BA%E7%BB%8F%E6%B5%8E%E4%BD%93%E5%88%B6/10848776" \t "https://baike.baidu.com/item/%E9%87%8D%E7%82%B9%E4%BC%98%E6%8A%9A%E5%AF%B9%E8%B1%A1%E5%8C%BB%E7%96%97%E4%BF%9D%E9%9A%9C%E2%80%9C%E4%B8%80%E7%AB%99%E5%BC%8F%E2%80%9D%E7%BB%93%E7%AE%97%E7%B3%BB%E7%BB%9F/_blank" </w:instrText>
      </w:r>
      <w:r>
        <w:rPr>
          <w:rFonts w:hint="default" w:ascii="仿宋_GB2312" w:hAnsi="仿宋_GB2312" w:eastAsia="仿宋_GB2312"/>
          <w:sz w:val="32"/>
          <w:szCs w:val="32"/>
        </w:rPr>
        <w:fldChar w:fldCharType="separate"/>
      </w:r>
      <w:r>
        <w:rPr>
          <w:rFonts w:hint="default" w:ascii="仿宋_GB2312" w:hAnsi="仿宋_GB2312" w:eastAsia="仿宋_GB2312"/>
          <w:sz w:val="32"/>
          <w:szCs w:val="32"/>
        </w:rPr>
        <w:t>市场经济体制</w:t>
      </w:r>
      <w:r>
        <w:rPr>
          <w:rFonts w:hint="default" w:ascii="仿宋_GB2312" w:hAnsi="仿宋_GB2312" w:eastAsia="仿宋_GB2312"/>
          <w:sz w:val="32"/>
          <w:szCs w:val="32"/>
        </w:rPr>
        <w:fldChar w:fldCharType="end"/>
      </w:r>
      <w:r>
        <w:rPr>
          <w:rFonts w:hint="default" w:ascii="仿宋_GB2312" w:hAnsi="仿宋_GB2312" w:eastAsia="仿宋_GB2312"/>
          <w:sz w:val="32"/>
          <w:szCs w:val="32"/>
        </w:rPr>
        <w:t>相适应</w:t>
      </w:r>
      <w:r>
        <w:rPr>
          <w:rFonts w:hint="eastAsia" w:ascii="仿宋_GB2312" w:hAnsi="仿宋_GB2312" w:eastAsia="仿宋_GB2312"/>
          <w:sz w:val="32"/>
          <w:szCs w:val="32"/>
          <w:lang w:eastAsia="zh-CN"/>
        </w:rPr>
        <w:t>、</w:t>
      </w:r>
      <w:r>
        <w:rPr>
          <w:rFonts w:hint="default" w:ascii="仿宋_GB2312" w:hAnsi="仿宋_GB2312" w:eastAsia="仿宋_GB2312"/>
          <w:sz w:val="32"/>
          <w:szCs w:val="32"/>
        </w:rPr>
        <w:t>与社会保障制度相衔接</w:t>
      </w:r>
      <w:r>
        <w:rPr>
          <w:rFonts w:hint="eastAsia" w:ascii="仿宋_GB2312" w:hAnsi="仿宋_GB2312" w:eastAsia="仿宋_GB2312"/>
          <w:sz w:val="32"/>
          <w:szCs w:val="32"/>
          <w:lang w:eastAsia="zh-CN"/>
        </w:rPr>
        <w:t>、</w:t>
      </w:r>
      <w:r>
        <w:rPr>
          <w:rFonts w:hint="default" w:ascii="仿宋_GB2312" w:hAnsi="仿宋_GB2312" w:eastAsia="仿宋_GB2312"/>
          <w:sz w:val="32"/>
          <w:szCs w:val="32"/>
        </w:rPr>
        <w:t>与国民经济发展相协调</w:t>
      </w:r>
      <w:r>
        <w:rPr>
          <w:rFonts w:hint="eastAsia" w:ascii="仿宋_GB2312" w:hAnsi="仿宋_GB2312" w:eastAsia="仿宋_GB2312"/>
          <w:sz w:val="32"/>
          <w:szCs w:val="32"/>
          <w:lang w:eastAsia="zh-CN"/>
        </w:rPr>
        <w:t>、</w:t>
      </w:r>
      <w:r>
        <w:rPr>
          <w:rFonts w:hint="default" w:ascii="仿宋_GB2312" w:hAnsi="仿宋_GB2312" w:eastAsia="仿宋_GB2312"/>
          <w:sz w:val="32"/>
          <w:szCs w:val="32"/>
        </w:rPr>
        <w:t>与优抚工作优良传统相符合的医疗保障制度</w:t>
      </w:r>
      <w:r>
        <w:rPr>
          <w:rFonts w:hint="eastAsia" w:ascii="仿宋_GB2312" w:hAnsi="仿宋_GB2312" w:eastAsia="仿宋_GB2312"/>
          <w:sz w:val="32"/>
          <w:szCs w:val="32"/>
          <w:lang w:eastAsia="zh-CN"/>
        </w:rPr>
        <w:t>。优抚对象</w:t>
      </w:r>
      <w:r>
        <w:rPr>
          <w:rFonts w:hint="eastAsia" w:ascii="仿宋_GB2312" w:hAnsi="Times New Roman" w:eastAsia="仿宋_GB2312" w:cs="Times New Roman"/>
          <w:kern w:val="2"/>
          <w:sz w:val="32"/>
          <w:szCs w:val="32"/>
          <w:lang w:val="en-US" w:eastAsia="zh-CN" w:bidi="ar-SA"/>
        </w:rPr>
        <w:t>满意度</w:t>
      </w:r>
      <w:r>
        <w:rPr>
          <w:rFonts w:hint="eastAsia" w:ascii="仿宋_GB2312" w:eastAsia="仿宋_GB2312" w:cs="Times New Roman"/>
          <w:kern w:val="2"/>
          <w:sz w:val="32"/>
          <w:szCs w:val="32"/>
          <w:lang w:val="en-US" w:eastAsia="zh-CN" w:bidi="ar-SA"/>
        </w:rPr>
        <w:t>为</w:t>
      </w:r>
      <w:r>
        <w:rPr>
          <w:rFonts w:hint="eastAsia" w:ascii="仿宋_GB2312" w:hAnsi="仿宋_GB2312" w:eastAsia="仿宋_GB2312"/>
          <w:sz w:val="32"/>
          <w:szCs w:val="32"/>
          <w:lang w:val="en-US" w:eastAsia="zh-CN"/>
        </w:rPr>
        <w:t>100%。</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w:t>
      </w:r>
      <w:bookmarkStart w:id="0" w:name="_GoBack"/>
      <w:bookmarkEnd w:id="0"/>
      <w:r>
        <w:rPr>
          <w:rFonts w:hint="eastAsia" w:ascii="仿宋_GB2312" w:eastAsia="仿宋_GB2312"/>
          <w:sz w:val="32"/>
          <w:szCs w:val="32"/>
        </w:rPr>
        <w:t>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2022年4月8日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A75785"/>
    <w:multiLevelType w:val="singleLevel"/>
    <w:tmpl w:val="21A75785"/>
    <w:lvl w:ilvl="0" w:tentative="0">
      <w:start w:val="4"/>
      <w:numFmt w:val="decimal"/>
      <w:suff w:val="nothing"/>
      <w:lvlText w:val="%1、"/>
      <w:lvlJc w:val="left"/>
    </w:lvl>
  </w:abstractNum>
  <w:abstractNum w:abstractNumId="1">
    <w:nsid w:val="316CEE2D"/>
    <w:multiLevelType w:val="singleLevel"/>
    <w:tmpl w:val="316CEE2D"/>
    <w:lvl w:ilvl="0" w:tentative="0">
      <w:start w:val="2"/>
      <w:numFmt w:val="chineseCounting"/>
      <w:suff w:val="nothing"/>
      <w:lvlText w:val="（%1）"/>
      <w:lvlJc w:val="left"/>
      <w:rPr>
        <w:rFonts w:hint="eastAsia"/>
      </w:rPr>
    </w:lvl>
  </w:abstractNum>
  <w:abstractNum w:abstractNumId="2">
    <w:nsid w:val="7E0F6451"/>
    <w:multiLevelType w:val="singleLevel"/>
    <w:tmpl w:val="7E0F6451"/>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F1831D5"/>
    <w:rsid w:val="168A32A3"/>
    <w:rsid w:val="1BEA0FB0"/>
    <w:rsid w:val="23837535"/>
    <w:rsid w:val="2A0C3112"/>
    <w:rsid w:val="2B1A17C7"/>
    <w:rsid w:val="2D8D721C"/>
    <w:rsid w:val="32356E0A"/>
    <w:rsid w:val="39921607"/>
    <w:rsid w:val="434F392E"/>
    <w:rsid w:val="43C1159C"/>
    <w:rsid w:val="468762A1"/>
    <w:rsid w:val="46FA1D1F"/>
    <w:rsid w:val="486B578C"/>
    <w:rsid w:val="535A25A2"/>
    <w:rsid w:val="5375086E"/>
    <w:rsid w:val="5F897773"/>
    <w:rsid w:val="693F36A8"/>
    <w:rsid w:val="6B9D5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rFonts w:ascii="Times New Roman" w:hAnsi="Times New Roman" w:eastAsia="宋体" w:cs="Times New Roman"/>
      <w:sz w:val="18"/>
      <w:szCs w:val="18"/>
    </w:rPr>
  </w:style>
  <w:style w:type="character" w:customStyle="1" w:styleId="9">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1006</Words>
  <Characters>1023</Characters>
  <Lines>1</Lines>
  <Paragraphs>1</Paragraphs>
  <TotalTime>11</TotalTime>
  <ScaleCrop>false</ScaleCrop>
  <LinksUpToDate>false</LinksUpToDate>
  <CharactersWithSpaces>1060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2022-04-12T01:02:42Z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1F854C07018742848454E41077DDD1E8</vt:lpwstr>
  </property>
</Properties>
</file>