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adjustRightInd/>
        <w:snapToGrid/>
        <w:spacing w:after="0" w:line="240" w:lineRule="auto"/>
        <w:jc w:val="both"/>
        <w:rPr>
          <w:rFonts w:hint="eastAsia" w:ascii="Times New Roman" w:hAnsi="Times New Roman" w:eastAsia="方正小标宋简体" w:cs="Times New Roman"/>
          <w:color w:val="000000"/>
          <w:sz w:val="44"/>
          <w:szCs w:val="25"/>
          <w:lang w:eastAsia="zh-CN"/>
        </w:rPr>
      </w:pPr>
      <w:r>
        <w:rPr>
          <w:rFonts w:hint="eastAsia" w:ascii="Times New Roman" w:hAnsi="Times New Roman" w:eastAsia="方正小标宋简体" w:cs="Times New Roman"/>
          <w:color w:val="000000"/>
          <w:sz w:val="44"/>
          <w:szCs w:val="25"/>
          <w:lang w:eastAsia="zh-CN"/>
        </w:rPr>
        <w:drawing>
          <wp:inline distT="0" distB="0" distL="114300" distR="114300">
            <wp:extent cx="6156325" cy="8613775"/>
            <wp:effectExtent l="0" t="0" r="15875" b="15875"/>
            <wp:docPr id="4" name="图片 4" descr="TIM图片2018083016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IM图片20180830163954"/>
                    <pic:cNvPicPr>
                      <a:picLocks noChangeAspect="1"/>
                    </pic:cNvPicPr>
                  </pic:nvPicPr>
                  <pic:blipFill>
                    <a:blip r:embed="rId7"/>
                    <a:stretch>
                      <a:fillRect/>
                    </a:stretch>
                  </pic:blipFill>
                  <pic:spPr>
                    <a:xfrm>
                      <a:off x="0" y="0"/>
                      <a:ext cx="6156325" cy="8613775"/>
                    </a:xfrm>
                    <a:prstGeom prst="rect">
                      <a:avLst/>
                    </a:prstGeom>
                  </pic:spPr>
                </pic:pic>
              </a:graphicData>
            </a:graphic>
          </wp:inline>
        </w:drawing>
      </w:r>
    </w:p>
    <w:p>
      <w:pPr>
        <w:widowControl w:val="0"/>
        <w:adjustRightInd/>
        <w:snapToGrid/>
        <w:spacing w:after="0" w:line="240" w:lineRule="auto"/>
        <w:jc w:val="both"/>
        <w:rPr>
          <w:rFonts w:hint="eastAsia" w:ascii="Times New Roman" w:hAnsi="Times New Roman" w:eastAsia="方正小标宋简体" w:cs="Times New Roman"/>
          <w:color w:val="000000"/>
          <w:sz w:val="44"/>
          <w:szCs w:val="25"/>
          <w:lang w:eastAsia="zh-CN"/>
        </w:rPr>
      </w:pPr>
      <w:bookmarkStart w:id="0" w:name="_GoBack"/>
      <w:bookmarkEnd w:id="0"/>
    </w:p>
    <w:p>
      <w:pPr>
        <w:pStyle w:val="8"/>
        <w:autoSpaceDE w:val="0"/>
        <w:autoSpaceDN w:val="0"/>
        <w:adjustRightInd w:val="0"/>
        <w:snapToGrid w:val="0"/>
        <w:spacing w:line="600" w:lineRule="exact"/>
        <w:jc w:val="center"/>
        <w:rPr>
          <w:rFonts w:eastAsia="方正小标宋简体" w:cs="Times New Roman"/>
          <w:color w:val="000000"/>
          <w:kern w:val="0"/>
          <w:sz w:val="44"/>
          <w:szCs w:val="25"/>
        </w:rPr>
      </w:pPr>
      <w:r>
        <w:rPr>
          <w:rFonts w:hint="eastAsia" w:eastAsia="方正小标宋简体" w:cs="Times New Roman"/>
          <w:color w:val="000000"/>
          <w:kern w:val="0"/>
          <w:sz w:val="44"/>
          <w:szCs w:val="25"/>
        </w:rPr>
        <w:t>乳源瑶族自治县</w:t>
      </w:r>
      <w:r>
        <w:rPr>
          <w:rFonts w:eastAsia="方正小标宋简体" w:cs="Times New Roman"/>
          <w:color w:val="000000"/>
          <w:kern w:val="0"/>
          <w:sz w:val="44"/>
          <w:szCs w:val="25"/>
        </w:rPr>
        <w:t>中学生结核病防治</w:t>
      </w:r>
    </w:p>
    <w:p>
      <w:pPr>
        <w:pStyle w:val="8"/>
        <w:autoSpaceDE w:val="0"/>
        <w:autoSpaceDN w:val="0"/>
        <w:adjustRightInd w:val="0"/>
        <w:snapToGrid w:val="0"/>
        <w:spacing w:line="600" w:lineRule="exact"/>
        <w:jc w:val="center"/>
        <w:rPr>
          <w:rFonts w:eastAsia="楷体_GB2312" w:cs="Times New Roman"/>
          <w:color w:val="000000"/>
          <w:kern w:val="0"/>
          <w:sz w:val="32"/>
          <w:szCs w:val="32"/>
        </w:rPr>
      </w:pPr>
      <w:r>
        <w:rPr>
          <w:rFonts w:eastAsia="方正小标宋简体" w:cs="Times New Roman"/>
          <w:color w:val="000000"/>
          <w:kern w:val="0"/>
          <w:sz w:val="44"/>
          <w:szCs w:val="25"/>
        </w:rPr>
        <w:t>干预项目实施方案</w:t>
      </w:r>
    </w:p>
    <w:p>
      <w:pPr>
        <w:spacing w:line="600" w:lineRule="exact"/>
        <w:jc w:val="both"/>
        <w:rPr>
          <w:rFonts w:eastAsia="仿宋_GB2312" w:cs="Times New Roman"/>
          <w:sz w:val="32"/>
          <w:szCs w:val="32"/>
        </w:rPr>
      </w:pPr>
    </w:p>
    <w:p>
      <w:pPr>
        <w:spacing w:line="600" w:lineRule="exact"/>
        <w:ind w:firstLine="640" w:firstLineChars="200"/>
        <w:jc w:val="both"/>
        <w:rPr>
          <w:rFonts w:eastAsia="仿宋_GB2312" w:cs="Times New Roman"/>
          <w:sz w:val="32"/>
          <w:szCs w:val="32"/>
        </w:rPr>
      </w:pPr>
      <w:r>
        <w:rPr>
          <w:rFonts w:hint="eastAsia" w:ascii="仿宋_GB2312" w:hAnsi="仿宋_GB2312" w:eastAsia="仿宋_GB2312" w:cs="仿宋_GB2312"/>
          <w:sz w:val="32"/>
          <w:szCs w:val="32"/>
        </w:rPr>
        <w:t>为最大限度地减少全县中学生肺结核新发病例和聚集性疫情发生，进而控制肺结核在学校人群中的传播，保障广大师生身体健康，根据国务院办公厅《关于印发“十三五”全国结核病防治规划的通知》（国办发〔2017〕16号）、《国家卫生计生委办公厅  教育部办公厅关于印发学校结核病防控工作规范（2017版）的通知》（国卫办疾控发〔2017〕22号）、《韶关市中学生结核病防治干预项目实施方案》（韶卫函〔2017〕132号）等文件精神，结合我县实际，特制定本方案。</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黑体" w:cs="Times New Roman"/>
          <w:kern w:val="0"/>
          <w:sz w:val="32"/>
          <w:szCs w:val="32"/>
        </w:rPr>
        <w:t>一、总体目标</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仿宋_GB2312" w:cs="Times New Roman"/>
          <w:kern w:val="0"/>
          <w:sz w:val="32"/>
          <w:szCs w:val="32"/>
        </w:rPr>
        <w:t>最大限度地减少全</w:t>
      </w:r>
      <w:r>
        <w:rPr>
          <w:rFonts w:hint="eastAsia" w:eastAsia="仿宋_GB2312" w:cs="Times New Roman"/>
          <w:kern w:val="0"/>
          <w:sz w:val="32"/>
          <w:szCs w:val="32"/>
        </w:rPr>
        <w:t>县</w:t>
      </w:r>
      <w:r>
        <w:rPr>
          <w:rFonts w:eastAsia="仿宋_GB2312" w:cs="Times New Roman"/>
          <w:kern w:val="0"/>
          <w:sz w:val="32"/>
          <w:szCs w:val="32"/>
        </w:rPr>
        <w:t>中学生肺结核新发病例和聚集性疫情发生，进而控制肺结核在学校人群中的传播，保障广大师生身体健康，促进和谐校园建设，维护社会稳定。</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黑体" w:cs="Times New Roman"/>
          <w:kern w:val="0"/>
          <w:sz w:val="32"/>
          <w:szCs w:val="32"/>
        </w:rPr>
        <w:t>二、项目内容</w:t>
      </w:r>
    </w:p>
    <w:p>
      <w:pPr>
        <w:pStyle w:val="9"/>
        <w:autoSpaceDE w:val="0"/>
        <w:autoSpaceDN w:val="0"/>
        <w:adjustRightInd w:val="0"/>
        <w:snapToGrid w:val="0"/>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从2018年起由县财政安排专项经费，每年为全县中学（含普通高中、职业高中、初中）入学新生免费提供PPD皮试筛查肺结核；每年为全县发生肺结核疫情的学校免费提供肺结核密切接触者PPD皮试、X线胸片筛查肺结核。</w:t>
      </w:r>
    </w:p>
    <w:p>
      <w:pPr>
        <w:pStyle w:val="9"/>
        <w:autoSpaceDE w:val="0"/>
        <w:autoSpaceDN w:val="0"/>
        <w:adjustRightInd w:val="0"/>
        <w:snapToGrid w:val="0"/>
        <w:spacing w:line="600" w:lineRule="exact"/>
        <w:ind w:firstLine="640" w:firstLineChars="200"/>
        <w:rPr>
          <w:rFonts w:eastAsia="楷体_GB2312" w:cs="Times New Roman"/>
          <w:kern w:val="0"/>
          <w:sz w:val="32"/>
          <w:szCs w:val="32"/>
        </w:rPr>
      </w:pPr>
      <w:r>
        <w:rPr>
          <w:rFonts w:eastAsia="楷体_GB2312" w:cs="Times New Roman"/>
          <w:kern w:val="0"/>
          <w:sz w:val="32"/>
          <w:szCs w:val="32"/>
        </w:rPr>
        <w:t>（一）对象范围。</w:t>
      </w:r>
      <w:r>
        <w:rPr>
          <w:rFonts w:eastAsia="仿宋_GB2312" w:cs="Times New Roman"/>
          <w:kern w:val="0"/>
          <w:sz w:val="32"/>
          <w:szCs w:val="32"/>
        </w:rPr>
        <w:t>全</w:t>
      </w:r>
      <w:r>
        <w:rPr>
          <w:rFonts w:hint="eastAsia" w:eastAsia="仿宋_GB2312" w:cs="Times New Roman"/>
          <w:kern w:val="0"/>
          <w:sz w:val="32"/>
          <w:szCs w:val="32"/>
        </w:rPr>
        <w:t>县</w:t>
      </w:r>
      <w:r>
        <w:rPr>
          <w:rFonts w:eastAsia="仿宋_GB2312" w:cs="Times New Roman"/>
          <w:kern w:val="0"/>
          <w:sz w:val="32"/>
          <w:szCs w:val="32"/>
        </w:rPr>
        <w:t>中学（含普通高中、职业高中、初中）入学新生。全</w:t>
      </w:r>
      <w:r>
        <w:rPr>
          <w:rFonts w:hint="eastAsia" w:eastAsia="仿宋_GB2312" w:cs="Times New Roman"/>
          <w:kern w:val="0"/>
          <w:sz w:val="32"/>
          <w:szCs w:val="32"/>
        </w:rPr>
        <w:t>县</w:t>
      </w:r>
      <w:r>
        <w:rPr>
          <w:rFonts w:eastAsia="仿宋_GB2312" w:cs="Times New Roman"/>
          <w:kern w:val="0"/>
          <w:sz w:val="32"/>
          <w:szCs w:val="32"/>
        </w:rPr>
        <w:t>发生肺结核疫情学校的</w:t>
      </w:r>
      <w:r>
        <w:rPr>
          <w:rFonts w:hint="eastAsia" w:eastAsia="仿宋_GB2312" w:cs="Times New Roman"/>
          <w:kern w:val="0"/>
          <w:sz w:val="32"/>
          <w:szCs w:val="32"/>
        </w:rPr>
        <w:t>肺结核</w:t>
      </w:r>
      <w:r>
        <w:rPr>
          <w:rFonts w:eastAsia="仿宋_GB2312" w:cs="Times New Roman"/>
          <w:kern w:val="0"/>
          <w:sz w:val="32"/>
          <w:szCs w:val="32"/>
        </w:rPr>
        <w:t>密切接触者。</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楷体_GB2312" w:cs="Times New Roman"/>
          <w:kern w:val="0"/>
          <w:sz w:val="32"/>
          <w:szCs w:val="32"/>
        </w:rPr>
        <w:t>（二）检查内容。</w:t>
      </w:r>
      <w:r>
        <w:rPr>
          <w:rFonts w:hint="eastAsia" w:ascii="仿宋_GB2312" w:hAnsi="仿宋_GB2312" w:eastAsia="仿宋_GB2312" w:cs="仿宋_GB2312"/>
          <w:kern w:val="0"/>
          <w:sz w:val="32"/>
          <w:szCs w:val="32"/>
        </w:rPr>
        <w:t>中学入学新生、15岁以下学生肺结核密切接触者进行PPD皮试检查；≥15岁学生肺结核密切接触者进行PPD皮试和X线胸片检查</w:t>
      </w:r>
      <w:r>
        <w:rPr>
          <w:rFonts w:eastAsia="仿宋_GB2312" w:cs="Times New Roman"/>
          <w:kern w:val="0"/>
          <w:sz w:val="32"/>
          <w:szCs w:val="32"/>
        </w:rPr>
        <w:t>。</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楷体_GB2312" w:cs="Times New Roman"/>
          <w:kern w:val="0"/>
          <w:sz w:val="32"/>
          <w:szCs w:val="32"/>
        </w:rPr>
        <w:t>（三）实施时间。</w:t>
      </w:r>
      <w:r>
        <w:rPr>
          <w:rFonts w:hint="eastAsia" w:ascii="仿宋_GB2312" w:hAnsi="仿宋_GB2312" w:eastAsia="仿宋_GB2312" w:cs="仿宋_GB2312"/>
          <w:color w:val="auto"/>
          <w:kern w:val="0"/>
          <w:sz w:val="32"/>
          <w:szCs w:val="32"/>
        </w:rPr>
        <w:t>每年9-10月入学新生检查期间。</w:t>
      </w:r>
      <w:r>
        <w:rPr>
          <w:rFonts w:hint="eastAsia" w:ascii="仿宋_GB2312" w:hAnsi="仿宋_GB2312" w:eastAsia="仿宋_GB2312" w:cs="仿宋_GB2312"/>
          <w:kern w:val="0"/>
          <w:sz w:val="32"/>
          <w:szCs w:val="32"/>
        </w:rPr>
        <w:t>学校肺结核病人的密切接触者筛查在患者确诊后1周内完成</w:t>
      </w:r>
      <w:r>
        <w:rPr>
          <w:rFonts w:eastAsia="仿宋_GB2312" w:cs="Times New Roman"/>
          <w:kern w:val="0"/>
          <w:sz w:val="32"/>
          <w:szCs w:val="32"/>
        </w:rPr>
        <w:t>。</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楷体_GB2312" w:cs="Times New Roman"/>
          <w:kern w:val="0"/>
          <w:sz w:val="32"/>
          <w:szCs w:val="32"/>
        </w:rPr>
        <w:t>（四）质量评价指标。</w:t>
      </w:r>
      <w:r>
        <w:rPr>
          <w:rFonts w:hint="eastAsia" w:ascii="仿宋_GB2312" w:hAnsi="仿宋_GB2312" w:eastAsia="仿宋_GB2312" w:cs="仿宋_GB2312"/>
          <w:kern w:val="0"/>
          <w:sz w:val="32"/>
          <w:szCs w:val="32"/>
        </w:rPr>
        <w:t>质量评价指标。健康检查率≥95%、信息完整率≥95%;入学新生、学生肺结核密切接触者结核病核心信息知晓率≥85%。</w:t>
      </w:r>
    </w:p>
    <w:p>
      <w:pPr>
        <w:pStyle w:val="9"/>
        <w:autoSpaceDE w:val="0"/>
        <w:autoSpaceDN w:val="0"/>
        <w:adjustRightInd w:val="0"/>
        <w:snapToGrid w:val="0"/>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健康检查率=实际接受规定检查项目的学生数／应接受规定检查项目的学生总数；</w:t>
      </w:r>
    </w:p>
    <w:p>
      <w:pPr>
        <w:pStyle w:val="9"/>
        <w:autoSpaceDE w:val="0"/>
        <w:autoSpaceDN w:val="0"/>
        <w:adjustRightInd w:val="0"/>
        <w:snapToGrid w:val="0"/>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信息完整率=实际接受规定检查项目且信息完整的学生数／应接受规定检查项目的学生总数；</w:t>
      </w:r>
    </w:p>
    <w:p>
      <w:pPr>
        <w:pStyle w:val="9"/>
        <w:autoSpaceDE w:val="0"/>
        <w:autoSpaceDN w:val="0"/>
        <w:adjustRightInd w:val="0"/>
        <w:snapToGrid w:val="0"/>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入学新生结核病核心信息知晓率=全部知晓结核病核心信息入学新生数/所有接受PPD检查学生总数；</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hint="eastAsia" w:ascii="仿宋_GB2312" w:hAnsi="仿宋_GB2312" w:eastAsia="仿宋_GB2312" w:cs="仿宋_GB2312"/>
          <w:kern w:val="0"/>
          <w:sz w:val="32"/>
          <w:szCs w:val="32"/>
        </w:rPr>
        <w:t>学生密切接触者核心信息知晓率=全部知晓结核病核心信息的学生密切接触者数/所有应筛查的学生密切接触者人</w:t>
      </w:r>
      <w:r>
        <w:rPr>
          <w:rFonts w:eastAsia="仿宋_GB2312" w:cs="Times New Roman"/>
          <w:kern w:val="0"/>
          <w:sz w:val="32"/>
          <w:szCs w:val="32"/>
        </w:rPr>
        <w:t>数。</w:t>
      </w:r>
    </w:p>
    <w:p>
      <w:pPr>
        <w:pStyle w:val="9"/>
        <w:autoSpaceDE w:val="0"/>
        <w:autoSpaceDN w:val="0"/>
        <w:adjustRightInd w:val="0"/>
        <w:snapToGrid w:val="0"/>
        <w:spacing w:line="600" w:lineRule="exact"/>
        <w:ind w:firstLine="640" w:firstLineChars="200"/>
        <w:rPr>
          <w:rFonts w:eastAsia="黑体" w:cs="Times New Roman"/>
          <w:kern w:val="0"/>
          <w:sz w:val="32"/>
          <w:szCs w:val="32"/>
        </w:rPr>
      </w:pPr>
      <w:r>
        <w:rPr>
          <w:rFonts w:eastAsia="黑体" w:cs="Times New Roman"/>
          <w:kern w:val="0"/>
          <w:sz w:val="32"/>
          <w:szCs w:val="32"/>
        </w:rPr>
        <w:t>三、组织机构</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仿宋_GB2312" w:cs="Times New Roman"/>
          <w:kern w:val="0"/>
          <w:sz w:val="32"/>
          <w:szCs w:val="32"/>
        </w:rPr>
        <w:t>为加强组织领导与协调，确保项目顺利实施，成立</w:t>
      </w:r>
      <w:r>
        <w:rPr>
          <w:rFonts w:hint="eastAsia" w:eastAsia="仿宋_GB2312" w:cs="Times New Roman"/>
          <w:kern w:val="0"/>
          <w:sz w:val="32"/>
          <w:szCs w:val="32"/>
          <w:lang w:eastAsia="zh-CN"/>
        </w:rPr>
        <w:t>领导小组</w:t>
      </w:r>
      <w:r>
        <w:rPr>
          <w:rFonts w:eastAsia="仿宋_GB2312" w:cs="Times New Roman"/>
          <w:kern w:val="0"/>
          <w:sz w:val="32"/>
          <w:szCs w:val="32"/>
        </w:rPr>
        <w:t>，成员如下：</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hint="eastAsia" w:eastAsia="仿宋_GB2312" w:cs="Times New Roman"/>
          <w:kern w:val="0"/>
          <w:sz w:val="32"/>
          <w:szCs w:val="32"/>
          <w:lang w:eastAsia="zh-CN"/>
        </w:rPr>
        <w:t>组</w:t>
      </w:r>
      <w:r>
        <w:rPr>
          <w:rFonts w:hint="eastAsia" w:eastAsia="仿宋_GB2312" w:cs="Times New Roman"/>
          <w:kern w:val="0"/>
          <w:sz w:val="32"/>
          <w:szCs w:val="32"/>
          <w:lang w:val="en-US" w:eastAsia="zh-CN"/>
        </w:rPr>
        <w:t xml:space="preserve">   </w:t>
      </w:r>
      <w:r>
        <w:rPr>
          <w:rFonts w:hint="eastAsia" w:eastAsia="仿宋_GB2312" w:cs="Times New Roman"/>
          <w:kern w:val="0"/>
          <w:sz w:val="32"/>
          <w:szCs w:val="32"/>
          <w:lang w:eastAsia="zh-CN"/>
        </w:rPr>
        <w:t>长</w:t>
      </w:r>
      <w:r>
        <w:rPr>
          <w:rFonts w:eastAsia="仿宋_GB2312" w:cs="Times New Roman"/>
          <w:kern w:val="0"/>
          <w:sz w:val="32"/>
          <w:szCs w:val="32"/>
        </w:rPr>
        <w:t>：</w:t>
      </w:r>
      <w:r>
        <w:rPr>
          <w:rFonts w:hint="eastAsia" w:eastAsia="仿宋_GB2312" w:cs="Times New Roman"/>
          <w:kern w:val="0"/>
          <w:sz w:val="32"/>
          <w:szCs w:val="32"/>
        </w:rPr>
        <w:t>谭延明</w:t>
      </w:r>
      <w:r>
        <w:rPr>
          <w:rFonts w:eastAsia="仿宋_GB2312" w:cs="Times New Roman"/>
          <w:kern w:val="0"/>
          <w:sz w:val="32"/>
          <w:szCs w:val="32"/>
        </w:rPr>
        <w:t>（</w:t>
      </w:r>
      <w:r>
        <w:rPr>
          <w:rFonts w:hint="eastAsia" w:eastAsia="仿宋_GB2312" w:cs="Times New Roman"/>
          <w:kern w:val="0"/>
          <w:sz w:val="32"/>
          <w:szCs w:val="32"/>
        </w:rPr>
        <w:t>县</w:t>
      </w:r>
      <w:r>
        <w:rPr>
          <w:rFonts w:eastAsia="仿宋_GB2312" w:cs="Times New Roman"/>
          <w:kern w:val="0"/>
          <w:sz w:val="32"/>
          <w:szCs w:val="32"/>
        </w:rPr>
        <w:t>卫生计生局局长）</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仿宋_GB2312" w:cs="Times New Roman"/>
          <w:kern w:val="0"/>
          <w:sz w:val="32"/>
          <w:szCs w:val="32"/>
        </w:rPr>
        <w:t>副</w:t>
      </w:r>
      <w:r>
        <w:rPr>
          <w:rFonts w:hint="eastAsia" w:eastAsia="仿宋_GB2312" w:cs="Times New Roman"/>
          <w:kern w:val="0"/>
          <w:sz w:val="32"/>
          <w:szCs w:val="32"/>
          <w:lang w:eastAsia="zh-CN"/>
        </w:rPr>
        <w:t>组长</w:t>
      </w:r>
      <w:r>
        <w:rPr>
          <w:rFonts w:eastAsia="仿宋_GB2312" w:cs="Times New Roman"/>
          <w:kern w:val="0"/>
          <w:sz w:val="32"/>
          <w:szCs w:val="32"/>
        </w:rPr>
        <w:t>：李</w:t>
      </w:r>
      <w:r>
        <w:rPr>
          <w:rFonts w:hint="eastAsia" w:eastAsia="仿宋_GB2312" w:cs="Times New Roman"/>
          <w:kern w:val="0"/>
          <w:sz w:val="32"/>
          <w:szCs w:val="32"/>
        </w:rPr>
        <w:t xml:space="preserve">     琳</w:t>
      </w:r>
      <w:r>
        <w:rPr>
          <w:rFonts w:eastAsia="仿宋_GB2312" w:cs="Times New Roman"/>
          <w:kern w:val="0"/>
          <w:sz w:val="32"/>
          <w:szCs w:val="32"/>
        </w:rPr>
        <w:t>（</w:t>
      </w:r>
      <w:r>
        <w:rPr>
          <w:rFonts w:hint="eastAsia" w:eastAsia="仿宋_GB2312" w:cs="Times New Roman"/>
          <w:kern w:val="0"/>
          <w:sz w:val="32"/>
          <w:szCs w:val="32"/>
        </w:rPr>
        <w:t>县</w:t>
      </w:r>
      <w:r>
        <w:rPr>
          <w:rFonts w:eastAsia="仿宋_GB2312" w:cs="Times New Roman"/>
          <w:kern w:val="0"/>
          <w:sz w:val="32"/>
          <w:szCs w:val="32"/>
        </w:rPr>
        <w:t>卫生计生局副局长）</w:t>
      </w:r>
    </w:p>
    <w:p>
      <w:pPr>
        <w:pStyle w:val="9"/>
        <w:autoSpaceDE w:val="0"/>
        <w:autoSpaceDN w:val="0"/>
        <w:adjustRightInd w:val="0"/>
        <w:snapToGrid w:val="0"/>
        <w:spacing w:line="600" w:lineRule="exact"/>
        <w:ind w:firstLine="1920" w:firstLineChars="600"/>
        <w:rPr>
          <w:rFonts w:eastAsia="仿宋_GB2312" w:cs="Times New Roman"/>
          <w:kern w:val="0"/>
          <w:sz w:val="32"/>
          <w:szCs w:val="32"/>
        </w:rPr>
      </w:pPr>
      <w:r>
        <w:rPr>
          <w:rFonts w:hint="eastAsia" w:eastAsia="仿宋_GB2312" w:cs="Times New Roman"/>
          <w:kern w:val="0"/>
          <w:sz w:val="32"/>
          <w:szCs w:val="32"/>
        </w:rPr>
        <w:t>潘继明</w:t>
      </w:r>
      <w:r>
        <w:rPr>
          <w:rFonts w:eastAsia="仿宋_GB2312" w:cs="Times New Roman"/>
          <w:kern w:val="0"/>
          <w:sz w:val="32"/>
          <w:szCs w:val="32"/>
        </w:rPr>
        <w:t>（</w:t>
      </w:r>
      <w:r>
        <w:rPr>
          <w:rFonts w:hint="eastAsia" w:eastAsia="仿宋_GB2312" w:cs="Times New Roman"/>
          <w:kern w:val="0"/>
          <w:sz w:val="32"/>
          <w:szCs w:val="32"/>
        </w:rPr>
        <w:t>县</w:t>
      </w:r>
      <w:r>
        <w:rPr>
          <w:rFonts w:eastAsia="仿宋_GB2312" w:cs="Times New Roman"/>
          <w:kern w:val="0"/>
          <w:sz w:val="32"/>
          <w:szCs w:val="32"/>
        </w:rPr>
        <w:t>教育局副局长）</w:t>
      </w:r>
    </w:p>
    <w:p>
      <w:pPr>
        <w:pStyle w:val="9"/>
        <w:autoSpaceDE w:val="0"/>
        <w:autoSpaceDN w:val="0"/>
        <w:adjustRightInd w:val="0"/>
        <w:snapToGrid w:val="0"/>
        <w:spacing w:line="600" w:lineRule="exact"/>
        <w:ind w:firstLine="1920" w:firstLineChars="600"/>
        <w:rPr>
          <w:rFonts w:eastAsia="仿宋_GB2312" w:cs="Times New Roman"/>
          <w:kern w:val="0"/>
          <w:sz w:val="32"/>
          <w:szCs w:val="32"/>
        </w:rPr>
      </w:pPr>
      <w:r>
        <w:rPr>
          <w:rFonts w:hint="eastAsia" w:eastAsia="仿宋_GB2312" w:cs="Times New Roman"/>
          <w:kern w:val="0"/>
          <w:sz w:val="32"/>
          <w:szCs w:val="32"/>
          <w:lang w:eastAsia="zh-CN"/>
        </w:rPr>
        <w:t>何</w:t>
      </w:r>
      <w:r>
        <w:rPr>
          <w:rFonts w:hint="eastAsia" w:eastAsia="仿宋_GB2312" w:cs="Times New Roman"/>
          <w:kern w:val="0"/>
          <w:sz w:val="32"/>
          <w:szCs w:val="32"/>
          <w:lang w:val="en-US" w:eastAsia="zh-CN"/>
        </w:rPr>
        <w:t xml:space="preserve">    </w:t>
      </w:r>
      <w:r>
        <w:rPr>
          <w:rFonts w:hint="eastAsia" w:eastAsia="仿宋_GB2312" w:cs="Times New Roman"/>
          <w:kern w:val="0"/>
          <w:sz w:val="32"/>
          <w:szCs w:val="32"/>
          <w:lang w:eastAsia="zh-CN"/>
        </w:rPr>
        <w:t>娟</w:t>
      </w:r>
      <w:r>
        <w:rPr>
          <w:rFonts w:eastAsia="仿宋_GB2312" w:cs="Times New Roman"/>
          <w:kern w:val="0"/>
          <w:sz w:val="32"/>
          <w:szCs w:val="32"/>
        </w:rPr>
        <w:t>（</w:t>
      </w:r>
      <w:r>
        <w:rPr>
          <w:rFonts w:hint="eastAsia" w:eastAsia="仿宋_GB2312" w:cs="Times New Roman"/>
          <w:kern w:val="0"/>
          <w:sz w:val="32"/>
          <w:szCs w:val="32"/>
        </w:rPr>
        <w:t>县</w:t>
      </w:r>
      <w:r>
        <w:rPr>
          <w:rFonts w:eastAsia="仿宋_GB2312" w:cs="Times New Roman"/>
          <w:kern w:val="0"/>
          <w:sz w:val="32"/>
          <w:szCs w:val="32"/>
        </w:rPr>
        <w:t>财政局副局长）</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仿宋_GB2312" w:cs="Times New Roman"/>
          <w:kern w:val="0"/>
          <w:sz w:val="32"/>
          <w:szCs w:val="32"/>
        </w:rPr>
        <w:t>成</w:t>
      </w:r>
      <w:r>
        <w:rPr>
          <w:rFonts w:hint="eastAsia" w:eastAsia="仿宋_GB2312" w:cs="Times New Roman"/>
          <w:kern w:val="0"/>
          <w:sz w:val="32"/>
          <w:szCs w:val="32"/>
        </w:rPr>
        <w:t xml:space="preserve">    </w:t>
      </w:r>
      <w:r>
        <w:rPr>
          <w:rFonts w:eastAsia="仿宋_GB2312" w:cs="Times New Roman"/>
          <w:kern w:val="0"/>
          <w:sz w:val="32"/>
          <w:szCs w:val="32"/>
        </w:rPr>
        <w:t>员：</w:t>
      </w:r>
      <w:r>
        <w:rPr>
          <w:rFonts w:hint="eastAsia" w:eastAsia="仿宋_GB2312" w:cs="Times New Roman"/>
          <w:kern w:val="0"/>
          <w:sz w:val="32"/>
          <w:szCs w:val="32"/>
        </w:rPr>
        <w:t>林招娣</w:t>
      </w:r>
      <w:r>
        <w:rPr>
          <w:rFonts w:eastAsia="仿宋_GB2312" w:cs="Times New Roman"/>
          <w:kern w:val="0"/>
          <w:sz w:val="32"/>
          <w:szCs w:val="32"/>
        </w:rPr>
        <w:t>（</w:t>
      </w:r>
      <w:r>
        <w:rPr>
          <w:rFonts w:hint="eastAsia" w:eastAsia="仿宋_GB2312" w:cs="Times New Roman"/>
          <w:kern w:val="0"/>
          <w:sz w:val="32"/>
          <w:szCs w:val="32"/>
        </w:rPr>
        <w:t>县</w:t>
      </w:r>
      <w:r>
        <w:rPr>
          <w:rFonts w:eastAsia="仿宋_GB2312" w:cs="Times New Roman"/>
          <w:kern w:val="0"/>
          <w:sz w:val="32"/>
          <w:szCs w:val="32"/>
        </w:rPr>
        <w:t>卫生计生局疾控</w:t>
      </w:r>
      <w:r>
        <w:rPr>
          <w:rFonts w:hint="eastAsia" w:eastAsia="仿宋_GB2312" w:cs="Times New Roman"/>
          <w:kern w:val="0"/>
          <w:sz w:val="32"/>
          <w:szCs w:val="32"/>
        </w:rPr>
        <w:t>妇幼股负责人</w:t>
      </w:r>
      <w:r>
        <w:rPr>
          <w:rFonts w:eastAsia="仿宋_GB2312" w:cs="Times New Roman"/>
          <w:kern w:val="0"/>
          <w:sz w:val="32"/>
          <w:szCs w:val="32"/>
        </w:rPr>
        <w:t>）</w:t>
      </w:r>
    </w:p>
    <w:p>
      <w:pPr>
        <w:pStyle w:val="9"/>
        <w:autoSpaceDE w:val="0"/>
        <w:autoSpaceDN w:val="0"/>
        <w:adjustRightInd w:val="0"/>
        <w:snapToGrid w:val="0"/>
        <w:spacing w:line="600" w:lineRule="exact"/>
        <w:ind w:firstLine="1920" w:firstLineChars="600"/>
        <w:rPr>
          <w:rFonts w:eastAsia="仿宋_GB2312" w:cs="Times New Roman"/>
          <w:kern w:val="0"/>
          <w:sz w:val="32"/>
          <w:szCs w:val="32"/>
        </w:rPr>
      </w:pPr>
      <w:r>
        <w:rPr>
          <w:rFonts w:hint="eastAsia" w:eastAsia="仿宋_GB2312" w:cs="Times New Roman"/>
          <w:kern w:val="0"/>
          <w:sz w:val="32"/>
          <w:szCs w:val="32"/>
          <w:lang w:eastAsia="zh-CN"/>
        </w:rPr>
        <w:t>王四清</w:t>
      </w:r>
      <w:r>
        <w:rPr>
          <w:rFonts w:eastAsia="仿宋_GB2312" w:cs="Times New Roman"/>
          <w:kern w:val="0"/>
          <w:sz w:val="32"/>
          <w:szCs w:val="32"/>
        </w:rPr>
        <w:t>（</w:t>
      </w:r>
      <w:r>
        <w:rPr>
          <w:rFonts w:hint="eastAsia" w:eastAsia="仿宋_GB2312" w:cs="Times New Roman"/>
          <w:kern w:val="0"/>
          <w:sz w:val="32"/>
          <w:szCs w:val="32"/>
        </w:rPr>
        <w:t>县</w:t>
      </w:r>
      <w:r>
        <w:rPr>
          <w:rFonts w:eastAsia="仿宋_GB2312" w:cs="Times New Roman"/>
          <w:kern w:val="0"/>
          <w:sz w:val="32"/>
          <w:szCs w:val="32"/>
        </w:rPr>
        <w:t>教育局</w:t>
      </w:r>
      <w:r>
        <w:rPr>
          <w:rFonts w:hint="eastAsia" w:eastAsia="仿宋_GB2312" w:cs="Times New Roman"/>
          <w:kern w:val="0"/>
          <w:sz w:val="32"/>
          <w:szCs w:val="32"/>
          <w:lang w:eastAsia="zh-CN"/>
        </w:rPr>
        <w:t>教育股</w:t>
      </w:r>
      <w:r>
        <w:rPr>
          <w:rFonts w:hint="eastAsia" w:eastAsia="仿宋_GB2312" w:cs="Times New Roman"/>
          <w:kern w:val="0"/>
          <w:sz w:val="32"/>
          <w:szCs w:val="32"/>
        </w:rPr>
        <w:t>负责人</w:t>
      </w:r>
      <w:r>
        <w:rPr>
          <w:rFonts w:eastAsia="仿宋_GB2312" w:cs="Times New Roman"/>
          <w:kern w:val="0"/>
          <w:sz w:val="32"/>
          <w:szCs w:val="32"/>
        </w:rPr>
        <w:t>）</w:t>
      </w:r>
    </w:p>
    <w:p>
      <w:pPr>
        <w:pStyle w:val="9"/>
        <w:autoSpaceDE w:val="0"/>
        <w:autoSpaceDN w:val="0"/>
        <w:adjustRightInd w:val="0"/>
        <w:snapToGrid w:val="0"/>
        <w:spacing w:line="600" w:lineRule="exact"/>
        <w:ind w:firstLine="1920" w:firstLineChars="600"/>
        <w:rPr>
          <w:rFonts w:eastAsia="仿宋_GB2312" w:cs="Times New Roman"/>
          <w:kern w:val="0"/>
          <w:sz w:val="32"/>
          <w:szCs w:val="32"/>
        </w:rPr>
      </w:pPr>
      <w:r>
        <w:rPr>
          <w:rFonts w:hint="eastAsia" w:eastAsia="仿宋_GB2312" w:cs="Times New Roman"/>
          <w:kern w:val="0"/>
          <w:sz w:val="32"/>
          <w:szCs w:val="32"/>
          <w:lang w:eastAsia="zh-CN"/>
        </w:rPr>
        <w:t>古</w:t>
      </w:r>
      <w:r>
        <w:rPr>
          <w:rFonts w:hint="eastAsia" w:eastAsia="仿宋_GB2312" w:cs="Times New Roman"/>
          <w:kern w:val="0"/>
          <w:sz w:val="32"/>
          <w:szCs w:val="32"/>
          <w:lang w:val="en-US" w:eastAsia="zh-CN"/>
        </w:rPr>
        <w:t xml:space="preserve">    </w:t>
      </w:r>
      <w:r>
        <w:rPr>
          <w:rFonts w:hint="eastAsia" w:eastAsia="仿宋_GB2312" w:cs="Times New Roman"/>
          <w:kern w:val="0"/>
          <w:sz w:val="32"/>
          <w:szCs w:val="32"/>
          <w:lang w:eastAsia="zh-CN"/>
        </w:rPr>
        <w:t>飞</w:t>
      </w:r>
      <w:r>
        <w:rPr>
          <w:rFonts w:eastAsia="仿宋_GB2312" w:cs="Times New Roman"/>
          <w:kern w:val="0"/>
          <w:sz w:val="32"/>
          <w:szCs w:val="32"/>
        </w:rPr>
        <w:t>（</w:t>
      </w:r>
      <w:r>
        <w:rPr>
          <w:rFonts w:hint="eastAsia" w:eastAsia="仿宋_GB2312" w:cs="Times New Roman"/>
          <w:kern w:val="0"/>
          <w:sz w:val="32"/>
          <w:szCs w:val="32"/>
        </w:rPr>
        <w:t>县</w:t>
      </w:r>
      <w:r>
        <w:rPr>
          <w:rFonts w:eastAsia="仿宋_GB2312" w:cs="Times New Roman"/>
          <w:kern w:val="0"/>
          <w:sz w:val="32"/>
          <w:szCs w:val="32"/>
        </w:rPr>
        <w:t>财政局社保</w:t>
      </w:r>
      <w:r>
        <w:rPr>
          <w:rFonts w:hint="eastAsia" w:eastAsia="仿宋_GB2312" w:cs="Times New Roman"/>
          <w:kern w:val="0"/>
          <w:sz w:val="32"/>
          <w:szCs w:val="32"/>
        </w:rPr>
        <w:t>股</w:t>
      </w:r>
      <w:r>
        <w:rPr>
          <w:rFonts w:hint="eastAsia" w:eastAsia="仿宋_GB2312" w:cs="Times New Roman"/>
          <w:kern w:val="0"/>
          <w:sz w:val="32"/>
          <w:szCs w:val="32"/>
          <w:lang w:eastAsia="zh-CN"/>
        </w:rPr>
        <w:t>负责人</w:t>
      </w:r>
      <w:r>
        <w:rPr>
          <w:rFonts w:eastAsia="仿宋_GB2312" w:cs="Times New Roman"/>
          <w:kern w:val="0"/>
          <w:sz w:val="32"/>
          <w:szCs w:val="32"/>
        </w:rPr>
        <w:t>）</w:t>
      </w:r>
    </w:p>
    <w:p>
      <w:pPr>
        <w:pStyle w:val="9"/>
        <w:autoSpaceDE w:val="0"/>
        <w:autoSpaceDN w:val="0"/>
        <w:adjustRightInd w:val="0"/>
        <w:snapToGrid w:val="0"/>
        <w:spacing w:line="600" w:lineRule="exact"/>
        <w:ind w:firstLine="1920" w:firstLineChars="600"/>
        <w:rPr>
          <w:rFonts w:eastAsia="仿宋_GB2312" w:cs="Times New Roman"/>
          <w:kern w:val="0"/>
          <w:sz w:val="32"/>
          <w:szCs w:val="32"/>
        </w:rPr>
      </w:pPr>
      <w:r>
        <w:rPr>
          <w:rFonts w:hint="eastAsia" w:eastAsia="仿宋_GB2312" w:cs="Times New Roman"/>
          <w:kern w:val="0"/>
          <w:sz w:val="32"/>
          <w:szCs w:val="32"/>
        </w:rPr>
        <w:t>王济养</w:t>
      </w:r>
      <w:r>
        <w:rPr>
          <w:rFonts w:eastAsia="仿宋_GB2312" w:cs="Times New Roman"/>
          <w:kern w:val="0"/>
          <w:sz w:val="32"/>
          <w:szCs w:val="32"/>
        </w:rPr>
        <w:t>（</w:t>
      </w:r>
      <w:r>
        <w:rPr>
          <w:rFonts w:hint="eastAsia" w:eastAsia="仿宋_GB2312" w:cs="Times New Roman"/>
          <w:kern w:val="0"/>
          <w:sz w:val="32"/>
          <w:szCs w:val="32"/>
        </w:rPr>
        <w:t>县慢病站站</w:t>
      </w:r>
      <w:r>
        <w:rPr>
          <w:rFonts w:eastAsia="仿宋_GB2312" w:cs="Times New Roman"/>
          <w:kern w:val="0"/>
          <w:sz w:val="32"/>
          <w:szCs w:val="32"/>
        </w:rPr>
        <w:t>长）</w:t>
      </w:r>
    </w:p>
    <w:p>
      <w:pPr>
        <w:pStyle w:val="9"/>
        <w:autoSpaceDE w:val="0"/>
        <w:autoSpaceDN w:val="0"/>
        <w:adjustRightInd w:val="0"/>
        <w:snapToGrid w:val="0"/>
        <w:spacing w:line="600" w:lineRule="exact"/>
        <w:ind w:firstLine="1920" w:firstLineChars="600"/>
        <w:rPr>
          <w:rFonts w:eastAsia="仿宋_GB2312" w:cs="Times New Roman"/>
          <w:kern w:val="0"/>
          <w:sz w:val="32"/>
          <w:szCs w:val="32"/>
        </w:rPr>
      </w:pPr>
      <w:r>
        <w:rPr>
          <w:rFonts w:hint="eastAsia" w:eastAsia="仿宋_GB2312" w:cs="Times New Roman"/>
          <w:kern w:val="0"/>
          <w:sz w:val="32"/>
          <w:szCs w:val="32"/>
        </w:rPr>
        <w:t>魏先文</w:t>
      </w:r>
      <w:r>
        <w:rPr>
          <w:rFonts w:eastAsia="仿宋_GB2312" w:cs="Times New Roman"/>
          <w:kern w:val="0"/>
          <w:sz w:val="32"/>
          <w:szCs w:val="32"/>
        </w:rPr>
        <w:t>（</w:t>
      </w:r>
      <w:r>
        <w:rPr>
          <w:rFonts w:hint="eastAsia" w:eastAsia="仿宋_GB2312" w:cs="Times New Roman"/>
          <w:kern w:val="0"/>
          <w:sz w:val="32"/>
          <w:szCs w:val="32"/>
        </w:rPr>
        <w:t>县慢病站副站</w:t>
      </w:r>
      <w:r>
        <w:rPr>
          <w:rFonts w:eastAsia="仿宋_GB2312" w:cs="Times New Roman"/>
          <w:kern w:val="0"/>
          <w:sz w:val="32"/>
          <w:szCs w:val="32"/>
        </w:rPr>
        <w:t>长）</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hint="eastAsia" w:eastAsia="仿宋_GB2312" w:cs="Times New Roman"/>
          <w:kern w:val="0"/>
          <w:sz w:val="32"/>
          <w:szCs w:val="32"/>
          <w:lang w:eastAsia="zh-CN"/>
        </w:rPr>
        <w:t>领导小组</w:t>
      </w:r>
      <w:r>
        <w:rPr>
          <w:rFonts w:eastAsia="仿宋_GB2312" w:cs="Times New Roman"/>
          <w:kern w:val="0"/>
          <w:sz w:val="32"/>
          <w:szCs w:val="32"/>
        </w:rPr>
        <w:t>办公室设在</w:t>
      </w:r>
      <w:r>
        <w:rPr>
          <w:rFonts w:hint="eastAsia" w:eastAsia="仿宋_GB2312" w:cs="Times New Roman"/>
          <w:kern w:val="0"/>
          <w:sz w:val="32"/>
          <w:szCs w:val="32"/>
        </w:rPr>
        <w:t>县慢病站</w:t>
      </w:r>
      <w:r>
        <w:rPr>
          <w:rFonts w:eastAsia="仿宋_GB2312" w:cs="Times New Roman"/>
          <w:kern w:val="0"/>
          <w:sz w:val="32"/>
          <w:szCs w:val="32"/>
        </w:rPr>
        <w:t>，由</w:t>
      </w:r>
      <w:r>
        <w:rPr>
          <w:rFonts w:hint="eastAsia" w:eastAsia="仿宋_GB2312" w:cs="Times New Roman"/>
          <w:kern w:val="0"/>
          <w:sz w:val="32"/>
          <w:szCs w:val="32"/>
        </w:rPr>
        <w:t>魏先文同志</w:t>
      </w:r>
      <w:r>
        <w:rPr>
          <w:rFonts w:eastAsia="仿宋_GB2312" w:cs="Times New Roman"/>
          <w:kern w:val="0"/>
          <w:sz w:val="32"/>
          <w:szCs w:val="32"/>
        </w:rPr>
        <w:t>担任办公室主任。</w:t>
      </w:r>
    </w:p>
    <w:p>
      <w:pPr>
        <w:pStyle w:val="9"/>
        <w:autoSpaceDE w:val="0"/>
        <w:autoSpaceDN w:val="0"/>
        <w:adjustRightInd w:val="0"/>
        <w:snapToGrid w:val="0"/>
        <w:spacing w:line="600" w:lineRule="exact"/>
        <w:ind w:firstLine="640" w:firstLineChars="200"/>
        <w:rPr>
          <w:rFonts w:eastAsia="黑体" w:cs="Times New Roman"/>
          <w:kern w:val="0"/>
          <w:sz w:val="32"/>
          <w:szCs w:val="32"/>
        </w:rPr>
      </w:pPr>
      <w:r>
        <w:rPr>
          <w:rFonts w:eastAsia="黑体" w:cs="Times New Roman"/>
          <w:kern w:val="0"/>
          <w:sz w:val="32"/>
          <w:szCs w:val="32"/>
        </w:rPr>
        <w:t>四、主要任务</w:t>
      </w:r>
    </w:p>
    <w:p>
      <w:pPr>
        <w:pStyle w:val="9"/>
        <w:autoSpaceDE w:val="0"/>
        <w:autoSpaceDN w:val="0"/>
        <w:adjustRightInd w:val="0"/>
        <w:snapToGrid w:val="0"/>
        <w:spacing w:line="600" w:lineRule="exact"/>
        <w:ind w:firstLine="640" w:firstLineChars="200"/>
        <w:rPr>
          <w:rFonts w:eastAsia="楷体_GB2312" w:cs="Times New Roman"/>
          <w:kern w:val="0"/>
          <w:sz w:val="32"/>
          <w:szCs w:val="32"/>
        </w:rPr>
      </w:pPr>
      <w:r>
        <w:rPr>
          <w:rFonts w:eastAsia="楷体_GB2312" w:cs="Times New Roman"/>
          <w:kern w:val="0"/>
          <w:sz w:val="32"/>
          <w:szCs w:val="32"/>
        </w:rPr>
        <w:t>（一）将PPD皮试检查纳入中学生入学新生体检项目</w:t>
      </w:r>
    </w:p>
    <w:p>
      <w:pPr>
        <w:pStyle w:val="9"/>
        <w:autoSpaceDE w:val="0"/>
        <w:autoSpaceDN w:val="0"/>
        <w:adjustRightInd w:val="0"/>
        <w:snapToGrid w:val="0"/>
        <w:spacing w:line="600" w:lineRule="exact"/>
        <w:ind w:firstLine="640" w:firstLineChars="200"/>
        <w:rPr>
          <w:rFonts w:ascii="仿宋_GB2312" w:hAnsi="仿宋_GB2312" w:eastAsia="仿宋_GB2312" w:cs="仿宋_GB2312"/>
          <w:color w:val="auto"/>
          <w:kern w:val="0"/>
          <w:sz w:val="32"/>
          <w:szCs w:val="32"/>
        </w:rPr>
      </w:pPr>
      <w:r>
        <w:rPr>
          <w:rFonts w:hint="eastAsia" w:ascii="仿宋_GB2312" w:hAnsi="仿宋_GB2312" w:eastAsia="仿宋_GB2312" w:cs="仿宋_GB2312"/>
          <w:kern w:val="0"/>
          <w:sz w:val="32"/>
          <w:szCs w:val="32"/>
        </w:rPr>
        <w:t>从2018年起，将PPD皮试检查纳入全县普通高中、职业高中、初中入学新生体检项目；将PPD皮试和胸片检查纳入发生肺结核疫情学校的密切接触者筛查项目。</w:t>
      </w:r>
      <w:r>
        <w:rPr>
          <w:rFonts w:hint="eastAsia" w:ascii="仿宋_GB2312" w:hAnsi="仿宋_GB2312" w:eastAsia="仿宋_GB2312" w:cs="仿宋_GB2312"/>
          <w:color w:val="auto"/>
          <w:kern w:val="0"/>
          <w:sz w:val="32"/>
          <w:szCs w:val="32"/>
        </w:rPr>
        <w:t>以上检查项目由县级财政部门按胸片87.1元／人、PPD皮试检查31元（试剂28.5、注射费2.5）的标准安排专项经费，纳入当年财政预算。</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楷体_GB2312" w:cs="Times New Roman"/>
          <w:kern w:val="0"/>
          <w:sz w:val="32"/>
          <w:szCs w:val="32"/>
        </w:rPr>
        <w:t>（二）开展中学入学新生及密切接触者筛查</w:t>
      </w:r>
    </w:p>
    <w:p>
      <w:pPr>
        <w:pStyle w:val="9"/>
        <w:autoSpaceDE w:val="0"/>
        <w:autoSpaceDN w:val="0"/>
        <w:adjustRightInd w:val="0"/>
        <w:snapToGrid w:val="0"/>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1.PPD皮试检查单位：县慢病站及各有中学的镇卫生院</w:t>
      </w:r>
    </w:p>
    <w:p>
      <w:pPr>
        <w:pStyle w:val="9"/>
        <w:autoSpaceDE w:val="0"/>
        <w:autoSpaceDN w:val="0"/>
        <w:adjustRightInd w:val="0"/>
        <w:snapToGrid w:val="0"/>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2.PPD皮试检查服务范围：县慢病站负责县直属中学的学生PPD皮试检查工作，乳城镇卫生院负责乳城镇侯公渡中学的学生PPD皮试检查工作，其他乡镇中学PPD皮试检查由所在镇的卫生院负责。</w:t>
      </w:r>
    </w:p>
    <w:p>
      <w:pPr>
        <w:pStyle w:val="9"/>
        <w:autoSpaceDE w:val="0"/>
        <w:autoSpaceDN w:val="0"/>
        <w:adjustRightInd w:val="0"/>
        <w:snapToGrid w:val="0"/>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3.县慢病站承担全县发生肺结核疫情学校的密切接触者筛查处置工作。</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楷体_GB2312" w:cs="Times New Roman"/>
          <w:kern w:val="0"/>
          <w:sz w:val="32"/>
          <w:szCs w:val="32"/>
        </w:rPr>
        <w:t>（</w:t>
      </w:r>
      <w:r>
        <w:rPr>
          <w:rFonts w:hint="eastAsia" w:eastAsia="楷体_GB2312" w:cs="Times New Roman"/>
          <w:kern w:val="0"/>
          <w:sz w:val="32"/>
          <w:szCs w:val="32"/>
        </w:rPr>
        <w:t>三</w:t>
      </w:r>
      <w:r>
        <w:rPr>
          <w:rFonts w:eastAsia="楷体_GB2312" w:cs="Times New Roman"/>
          <w:kern w:val="0"/>
          <w:sz w:val="32"/>
          <w:szCs w:val="32"/>
        </w:rPr>
        <w:t>）规范转诊及疫情处置工作</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hint="eastAsia" w:ascii="仿宋_GB2312" w:hAnsi="仿宋_GB2312" w:eastAsia="仿宋_GB2312" w:cs="仿宋_GB2312"/>
          <w:kern w:val="0"/>
          <w:sz w:val="32"/>
          <w:szCs w:val="32"/>
        </w:rPr>
        <w:t>实施肺结核筛查的相关镇卫生院在中学入学新生体检过程中发现疑似肺结核患者，应及时进行网络疫情报告，并按照《结核病防治管理办法》将疑似肺结核患者转诊到县慢病站予以诊治。县慢病站对活动性肺结核或新发结核性胸膜炎患者，应按照《国家卫生计生委办公厅 教育部办公厅关于印发学校结核病防控工作规范（2017版）的通知》（国卫办疾控发〔2017〕22号）有关要求，做好相应的接触者结核病筛查等工作。出现可疑学校肺结核疫情时，要及时规范做好流行病学调查等疫情处置工作。</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楷体_GB2312" w:cs="Times New Roman"/>
          <w:kern w:val="0"/>
          <w:sz w:val="32"/>
          <w:szCs w:val="32"/>
        </w:rPr>
        <w:t>（</w:t>
      </w:r>
      <w:r>
        <w:rPr>
          <w:rFonts w:hint="eastAsia" w:eastAsia="楷体_GB2312" w:cs="Times New Roman"/>
          <w:kern w:val="0"/>
          <w:sz w:val="32"/>
          <w:szCs w:val="32"/>
        </w:rPr>
        <w:t>四</w:t>
      </w:r>
      <w:r>
        <w:rPr>
          <w:rFonts w:eastAsia="楷体_GB2312" w:cs="Times New Roman"/>
          <w:kern w:val="0"/>
          <w:sz w:val="32"/>
          <w:szCs w:val="32"/>
        </w:rPr>
        <w:t>）建立信息通报制度</w:t>
      </w:r>
    </w:p>
    <w:p>
      <w:pPr>
        <w:pStyle w:val="9"/>
        <w:autoSpaceDE w:val="0"/>
        <w:autoSpaceDN w:val="0"/>
        <w:adjustRightInd w:val="0"/>
        <w:snapToGrid w:val="0"/>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color w:val="auto"/>
          <w:kern w:val="0"/>
          <w:sz w:val="32"/>
          <w:szCs w:val="32"/>
        </w:rPr>
        <w:t>县教育局应在每年</w:t>
      </w:r>
      <w:r>
        <w:rPr>
          <w:rFonts w:hint="eastAsia" w:ascii="仿宋_GB2312" w:hAnsi="仿宋_GB2312" w:eastAsia="仿宋_GB2312" w:cs="仿宋_GB2312"/>
          <w:color w:val="auto"/>
          <w:kern w:val="0"/>
          <w:sz w:val="32"/>
          <w:szCs w:val="32"/>
          <w:lang w:val="en-US" w:eastAsia="zh-CN"/>
        </w:rPr>
        <w:t>6</w:t>
      </w:r>
      <w:r>
        <w:rPr>
          <w:rFonts w:hint="eastAsia" w:ascii="仿宋_GB2312" w:hAnsi="仿宋_GB2312" w:eastAsia="仿宋_GB2312" w:cs="仿宋_GB2312"/>
          <w:color w:val="auto"/>
          <w:kern w:val="0"/>
          <w:sz w:val="32"/>
          <w:szCs w:val="32"/>
        </w:rPr>
        <w:t>月</w:t>
      </w:r>
      <w:r>
        <w:rPr>
          <w:rFonts w:hint="eastAsia" w:ascii="仿宋_GB2312" w:hAnsi="仿宋_GB2312" w:eastAsia="仿宋_GB2312" w:cs="仿宋_GB2312"/>
          <w:color w:val="auto"/>
          <w:kern w:val="0"/>
          <w:sz w:val="32"/>
          <w:szCs w:val="32"/>
          <w:lang w:eastAsia="zh-CN"/>
        </w:rPr>
        <w:t>抄送</w:t>
      </w:r>
      <w:r>
        <w:rPr>
          <w:rFonts w:hint="eastAsia" w:ascii="仿宋_GB2312" w:hAnsi="仿宋_GB2312" w:eastAsia="仿宋_GB2312" w:cs="仿宋_GB2312"/>
          <w:color w:val="auto"/>
          <w:kern w:val="0"/>
          <w:sz w:val="32"/>
          <w:szCs w:val="32"/>
        </w:rPr>
        <w:t>中学招生计划，每年9月</w:t>
      </w:r>
      <w:r>
        <w:rPr>
          <w:rFonts w:hint="eastAsia" w:ascii="仿宋_GB2312" w:hAnsi="仿宋_GB2312" w:eastAsia="仿宋_GB2312" w:cs="仿宋_GB2312"/>
          <w:color w:val="auto"/>
          <w:kern w:val="0"/>
          <w:sz w:val="32"/>
          <w:szCs w:val="32"/>
          <w:lang w:eastAsia="zh-CN"/>
        </w:rPr>
        <w:t>抄送</w:t>
      </w:r>
      <w:r>
        <w:rPr>
          <w:rFonts w:hint="eastAsia" w:ascii="仿宋_GB2312" w:hAnsi="仿宋_GB2312" w:eastAsia="仿宋_GB2312" w:cs="仿宋_GB2312"/>
          <w:color w:val="auto"/>
          <w:kern w:val="0"/>
          <w:sz w:val="32"/>
          <w:szCs w:val="32"/>
        </w:rPr>
        <w:t>实际招生人数到卫计局，</w:t>
      </w:r>
      <w:r>
        <w:rPr>
          <w:rFonts w:hint="eastAsia" w:ascii="仿宋_GB2312" w:hAnsi="仿宋_GB2312" w:eastAsia="仿宋_GB2312" w:cs="仿宋_GB2312"/>
          <w:kern w:val="0"/>
          <w:sz w:val="32"/>
          <w:szCs w:val="32"/>
        </w:rPr>
        <w:t>配合做好筛查经费预决算和筛查工作安排。各类学校在中学生入学新生体检前，应将学生的学籍信息报送负责体检的医疗机构。承担结核病筛查工作的医疗机构于筛查工作结束后，应及时将筛查工作资料连同学生的学籍信息报送县慢病站。</w:t>
      </w:r>
      <w:r>
        <w:rPr>
          <w:rFonts w:hint="eastAsia" w:ascii="仿宋_GB2312" w:hAnsi="仿宋_GB2312" w:eastAsia="仿宋_GB2312" w:cs="仿宋_GB2312"/>
          <w:color w:val="auto"/>
          <w:kern w:val="0"/>
          <w:sz w:val="32"/>
          <w:szCs w:val="32"/>
        </w:rPr>
        <w:t>县慢病站每年11月对全县中学生结核病干预项目进行总结，</w:t>
      </w:r>
      <w:r>
        <w:rPr>
          <w:rFonts w:hint="eastAsia" w:ascii="仿宋_GB2312" w:hAnsi="仿宋_GB2312" w:eastAsia="仿宋_GB2312" w:cs="仿宋_GB2312"/>
          <w:kern w:val="0"/>
          <w:sz w:val="32"/>
          <w:szCs w:val="32"/>
        </w:rPr>
        <w:t>分别报县卫计局和教育局。</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hint="eastAsia" w:ascii="仿宋_GB2312" w:hAnsi="仿宋_GB2312" w:eastAsia="仿宋_GB2312" w:cs="仿宋_GB2312"/>
          <w:color w:val="000000"/>
          <w:kern w:val="0"/>
          <w:sz w:val="32"/>
          <w:szCs w:val="32"/>
        </w:rPr>
        <w:t>实施筛查的医疗机构应及时将筛查发现的结核病疫情向县卫计局和县教育局报告，并向患者所在学校进行信息</w:t>
      </w:r>
      <w:r>
        <w:rPr>
          <w:rFonts w:eastAsia="仿宋_GB2312" w:cs="Times New Roman"/>
          <w:color w:val="000000"/>
          <w:kern w:val="0"/>
          <w:sz w:val="32"/>
          <w:szCs w:val="32"/>
        </w:rPr>
        <w:t>反馈，指导学校做好校内结核病防控工作。</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eastAsia="黑体" w:cs="Times New Roman"/>
          <w:color w:val="000000"/>
          <w:kern w:val="0"/>
          <w:sz w:val="32"/>
          <w:szCs w:val="32"/>
        </w:rPr>
        <w:t>五、职责分工</w:t>
      </w:r>
    </w:p>
    <w:p>
      <w:pPr>
        <w:pStyle w:val="9"/>
        <w:autoSpaceDE w:val="0"/>
        <w:autoSpaceDN w:val="0"/>
        <w:adjustRightInd w:val="0"/>
        <w:snapToGrid w:val="0"/>
        <w:spacing w:line="600" w:lineRule="exact"/>
        <w:ind w:firstLine="640" w:firstLineChars="200"/>
        <w:rPr>
          <w:rFonts w:eastAsia="楷体_GB2312" w:cs="Times New Roman"/>
          <w:color w:val="000000"/>
          <w:kern w:val="0"/>
          <w:sz w:val="32"/>
          <w:szCs w:val="32"/>
        </w:rPr>
      </w:pPr>
      <w:r>
        <w:rPr>
          <w:rFonts w:eastAsia="楷体_GB2312" w:cs="Times New Roman"/>
          <w:color w:val="000000"/>
          <w:kern w:val="0"/>
          <w:sz w:val="32"/>
          <w:szCs w:val="32"/>
        </w:rPr>
        <w:t>（一）</w:t>
      </w:r>
      <w:r>
        <w:rPr>
          <w:rFonts w:hint="eastAsia" w:eastAsia="楷体_GB2312" w:cs="Times New Roman"/>
          <w:color w:val="000000"/>
          <w:kern w:val="0"/>
          <w:sz w:val="32"/>
          <w:szCs w:val="32"/>
        </w:rPr>
        <w:t>县卫计局</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hint="eastAsia" w:eastAsia="仿宋_GB2312" w:cs="Times New Roman"/>
          <w:color w:val="000000"/>
          <w:kern w:val="0"/>
          <w:sz w:val="32"/>
          <w:szCs w:val="32"/>
        </w:rPr>
        <w:t>县卫计局</w:t>
      </w:r>
      <w:r>
        <w:rPr>
          <w:rFonts w:eastAsia="仿宋_GB2312" w:cs="Times New Roman"/>
          <w:color w:val="000000"/>
          <w:kern w:val="0"/>
          <w:sz w:val="32"/>
          <w:szCs w:val="32"/>
        </w:rPr>
        <w:t>将中学生结核病防治干预项目纳入结核病防治工作计划，负责项目实施的统筹协调；负责汇</w:t>
      </w:r>
      <w:r>
        <w:rPr>
          <w:rFonts w:eastAsia="仿宋_GB2312" w:cs="Times New Roman"/>
          <w:kern w:val="0"/>
          <w:sz w:val="32"/>
          <w:szCs w:val="32"/>
        </w:rPr>
        <w:t>总教育部门报送的招生计划人数</w:t>
      </w:r>
      <w:r>
        <w:rPr>
          <w:rFonts w:eastAsia="仿宋_GB2312" w:cs="Times New Roman"/>
          <w:color w:val="000000"/>
          <w:kern w:val="0"/>
          <w:sz w:val="32"/>
          <w:szCs w:val="32"/>
        </w:rPr>
        <w:t>；负责对承担筛查任</w:t>
      </w:r>
      <w:r>
        <w:rPr>
          <w:rFonts w:eastAsia="仿宋_GB2312" w:cs="Times New Roman"/>
          <w:kern w:val="0"/>
          <w:sz w:val="32"/>
          <w:szCs w:val="32"/>
        </w:rPr>
        <w:t>务的医疗</w:t>
      </w:r>
      <w:r>
        <w:rPr>
          <w:rFonts w:hint="eastAsia" w:eastAsia="仿宋_GB2312" w:cs="Times New Roman"/>
          <w:kern w:val="0"/>
          <w:sz w:val="32"/>
          <w:szCs w:val="32"/>
        </w:rPr>
        <w:t>单位</w:t>
      </w:r>
      <w:r>
        <w:rPr>
          <w:rFonts w:eastAsia="仿宋_GB2312" w:cs="Times New Roman"/>
          <w:kern w:val="0"/>
          <w:sz w:val="32"/>
          <w:szCs w:val="32"/>
        </w:rPr>
        <w:t>开展相关工作的管理与监督；及时向</w:t>
      </w:r>
      <w:r>
        <w:rPr>
          <w:rFonts w:hint="eastAsia" w:eastAsia="仿宋_GB2312" w:cs="Times New Roman"/>
          <w:kern w:val="0"/>
          <w:sz w:val="32"/>
          <w:szCs w:val="32"/>
        </w:rPr>
        <w:t>县教育局</w:t>
      </w:r>
      <w:r>
        <w:rPr>
          <w:rFonts w:eastAsia="仿宋_GB2312" w:cs="Times New Roman"/>
          <w:kern w:val="0"/>
          <w:sz w:val="32"/>
          <w:szCs w:val="32"/>
        </w:rPr>
        <w:t>及</w:t>
      </w:r>
      <w:r>
        <w:rPr>
          <w:rFonts w:hint="eastAsia" w:eastAsia="仿宋_GB2312" w:cs="Times New Roman"/>
          <w:kern w:val="0"/>
          <w:sz w:val="32"/>
          <w:szCs w:val="32"/>
        </w:rPr>
        <w:t>县财政局</w:t>
      </w:r>
      <w:r>
        <w:rPr>
          <w:rFonts w:eastAsia="仿宋_GB2312" w:cs="Times New Roman"/>
          <w:kern w:val="0"/>
          <w:sz w:val="32"/>
          <w:szCs w:val="32"/>
        </w:rPr>
        <w:t>通报辖区中学生结核病干预项目工作进展及相关信</w:t>
      </w:r>
      <w:r>
        <w:rPr>
          <w:rFonts w:eastAsia="仿宋_GB2312" w:cs="Times New Roman"/>
          <w:color w:val="000000"/>
          <w:kern w:val="0"/>
          <w:sz w:val="32"/>
          <w:szCs w:val="32"/>
        </w:rPr>
        <w:t>息；联合相关部门对辖区内中学生结核病防治干预项目落实情况进行督导检查。</w:t>
      </w:r>
    </w:p>
    <w:p>
      <w:pPr>
        <w:pStyle w:val="9"/>
        <w:autoSpaceDE w:val="0"/>
        <w:autoSpaceDN w:val="0"/>
        <w:adjustRightInd w:val="0"/>
        <w:snapToGrid w:val="0"/>
        <w:spacing w:line="600" w:lineRule="exact"/>
        <w:ind w:firstLine="640" w:firstLineChars="200"/>
        <w:rPr>
          <w:rFonts w:eastAsia="楷体_GB2312" w:cs="Times New Roman"/>
          <w:color w:val="000000"/>
          <w:kern w:val="0"/>
          <w:sz w:val="32"/>
          <w:szCs w:val="32"/>
        </w:rPr>
      </w:pPr>
      <w:r>
        <w:rPr>
          <w:rFonts w:eastAsia="楷体_GB2312" w:cs="Times New Roman"/>
          <w:color w:val="000000"/>
          <w:kern w:val="0"/>
          <w:sz w:val="32"/>
          <w:szCs w:val="32"/>
        </w:rPr>
        <w:t>（二）</w:t>
      </w:r>
      <w:r>
        <w:rPr>
          <w:rFonts w:hint="eastAsia" w:eastAsia="楷体_GB2312" w:cs="Times New Roman"/>
          <w:color w:val="000000"/>
          <w:kern w:val="0"/>
          <w:sz w:val="32"/>
          <w:szCs w:val="32"/>
        </w:rPr>
        <w:t>县教育局</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hint="eastAsia" w:eastAsia="仿宋_GB2312" w:cs="Times New Roman"/>
          <w:color w:val="000000"/>
          <w:kern w:val="0"/>
          <w:sz w:val="32"/>
          <w:szCs w:val="32"/>
        </w:rPr>
        <w:t>县教育局</w:t>
      </w:r>
      <w:r>
        <w:rPr>
          <w:rFonts w:eastAsia="仿宋_GB2312" w:cs="Times New Roman"/>
          <w:color w:val="000000"/>
          <w:kern w:val="0"/>
          <w:sz w:val="32"/>
          <w:szCs w:val="32"/>
        </w:rPr>
        <w:t>负责协助组织</w:t>
      </w:r>
      <w:r>
        <w:rPr>
          <w:rFonts w:eastAsia="仿宋_GB2312" w:cs="Times New Roman"/>
          <w:kern w:val="0"/>
          <w:sz w:val="32"/>
          <w:szCs w:val="32"/>
        </w:rPr>
        <w:t>普通高中、职业高中、初中实施中学生结核病防治干预项目；配合做好中学生结核病筛查项目经费预算计划；将传染病防控</w:t>
      </w:r>
      <w:r>
        <w:rPr>
          <w:rFonts w:eastAsia="仿宋_GB2312" w:cs="Times New Roman"/>
          <w:color w:val="000000"/>
          <w:kern w:val="0"/>
          <w:sz w:val="32"/>
          <w:szCs w:val="32"/>
        </w:rPr>
        <w:t>工作纳入学校年度考核项目之中，督促学校落实各项传染病防控措施；配合</w:t>
      </w:r>
      <w:r>
        <w:rPr>
          <w:rFonts w:hint="eastAsia" w:eastAsia="仿宋_GB2312" w:cs="Times New Roman"/>
          <w:color w:val="000000"/>
          <w:kern w:val="0"/>
          <w:sz w:val="32"/>
          <w:szCs w:val="32"/>
        </w:rPr>
        <w:t>卫计局</w:t>
      </w:r>
      <w:r>
        <w:rPr>
          <w:rFonts w:eastAsia="仿宋_GB2312" w:cs="Times New Roman"/>
          <w:color w:val="000000"/>
          <w:kern w:val="0"/>
          <w:sz w:val="32"/>
          <w:szCs w:val="32"/>
        </w:rPr>
        <w:t>做好学校结核病疫情监测，协助</w:t>
      </w:r>
      <w:r>
        <w:rPr>
          <w:rFonts w:hint="eastAsia" w:eastAsia="仿宋_GB2312" w:cs="Times New Roman"/>
          <w:color w:val="000000"/>
          <w:kern w:val="0"/>
          <w:sz w:val="32"/>
          <w:szCs w:val="32"/>
        </w:rPr>
        <w:t>卫计局</w:t>
      </w:r>
      <w:r>
        <w:rPr>
          <w:rFonts w:eastAsia="仿宋_GB2312" w:cs="Times New Roman"/>
          <w:color w:val="000000"/>
          <w:kern w:val="0"/>
          <w:sz w:val="32"/>
          <w:szCs w:val="32"/>
        </w:rPr>
        <w:t>做好学校结核病暴发疫情的处置等工作。</w:t>
      </w:r>
    </w:p>
    <w:p>
      <w:pPr>
        <w:pStyle w:val="9"/>
        <w:autoSpaceDE w:val="0"/>
        <w:autoSpaceDN w:val="0"/>
        <w:adjustRightInd w:val="0"/>
        <w:snapToGrid w:val="0"/>
        <w:spacing w:line="600" w:lineRule="exact"/>
        <w:ind w:firstLine="640" w:firstLineChars="200"/>
        <w:rPr>
          <w:rFonts w:eastAsia="楷体_GB2312" w:cs="Times New Roman"/>
          <w:color w:val="000000"/>
          <w:kern w:val="0"/>
          <w:sz w:val="32"/>
          <w:szCs w:val="32"/>
        </w:rPr>
      </w:pPr>
      <w:r>
        <w:rPr>
          <w:rFonts w:eastAsia="楷体_GB2312" w:cs="Times New Roman"/>
          <w:color w:val="000000"/>
          <w:kern w:val="0"/>
          <w:sz w:val="32"/>
          <w:szCs w:val="32"/>
        </w:rPr>
        <w:t>（</w:t>
      </w:r>
      <w:r>
        <w:rPr>
          <w:rFonts w:hint="eastAsia" w:eastAsia="楷体_GB2312" w:cs="Times New Roman"/>
          <w:color w:val="000000"/>
          <w:kern w:val="0"/>
          <w:sz w:val="32"/>
          <w:szCs w:val="32"/>
        </w:rPr>
        <w:t>三</w:t>
      </w:r>
      <w:r>
        <w:rPr>
          <w:rFonts w:eastAsia="楷体_GB2312" w:cs="Times New Roman"/>
          <w:color w:val="000000"/>
          <w:kern w:val="0"/>
          <w:sz w:val="32"/>
          <w:szCs w:val="32"/>
        </w:rPr>
        <w:t>）</w:t>
      </w:r>
      <w:r>
        <w:rPr>
          <w:rFonts w:hint="eastAsia" w:eastAsia="楷体_GB2312" w:cs="Times New Roman"/>
          <w:color w:val="000000"/>
          <w:kern w:val="0"/>
          <w:sz w:val="32"/>
          <w:szCs w:val="32"/>
        </w:rPr>
        <w:t>县财政局</w:t>
      </w:r>
    </w:p>
    <w:p>
      <w:pPr>
        <w:pStyle w:val="9"/>
        <w:autoSpaceDE w:val="0"/>
        <w:autoSpaceDN w:val="0"/>
        <w:adjustRightInd w:val="0"/>
        <w:snapToGrid w:val="0"/>
        <w:spacing w:line="600" w:lineRule="exact"/>
        <w:ind w:firstLine="640" w:firstLineChars="200"/>
        <w:rPr>
          <w:rFonts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县财政局负责将中学生结核病防治干预项目筛查经费纳入年度财政预算安排，安排专项资金用于全县中学入学新生PPD皮试和学校发生疫情时对密切接触者的PPD皮试和X线胸片检查；根据申请，将筛查经费直接划拨给承担筛查工作的结核病防治机构和医疗机构。</w:t>
      </w:r>
    </w:p>
    <w:p>
      <w:pPr>
        <w:pStyle w:val="9"/>
        <w:numPr>
          <w:ilvl w:val="0"/>
          <w:numId w:val="1"/>
        </w:numPr>
        <w:autoSpaceDE w:val="0"/>
        <w:autoSpaceDN w:val="0"/>
        <w:adjustRightInd w:val="0"/>
        <w:snapToGrid w:val="0"/>
        <w:spacing w:line="600" w:lineRule="exact"/>
        <w:ind w:firstLine="640" w:firstLineChars="200"/>
        <w:rPr>
          <w:rFonts w:eastAsia="楷体_GB2312" w:cs="Times New Roman"/>
          <w:color w:val="000000"/>
          <w:kern w:val="0"/>
          <w:sz w:val="32"/>
          <w:szCs w:val="32"/>
        </w:rPr>
      </w:pPr>
      <w:r>
        <w:rPr>
          <w:rFonts w:hint="eastAsia" w:eastAsia="楷体_GB2312" w:cs="Times New Roman"/>
          <w:color w:val="000000"/>
          <w:kern w:val="0"/>
          <w:sz w:val="32"/>
          <w:szCs w:val="32"/>
        </w:rPr>
        <w:t>县慢病站</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hint="eastAsia" w:ascii="仿宋_GB2312" w:hAnsi="仿宋_GB2312" w:eastAsia="仿宋_GB2312" w:cs="仿宋_GB2312"/>
          <w:color w:val="000000"/>
          <w:kern w:val="0"/>
          <w:sz w:val="32"/>
          <w:szCs w:val="32"/>
        </w:rPr>
        <w:t>县慢病站负责中学入学新生结核病筛查工作的信息收集和汇总，研判分析全县学校结核病疫情趋势，年底前形成专项报告报县卫计局，为及时调整项目实施方案提供依据；指导医疗机构规范开展中学入学新生结核病筛查工作；制定学校结核病防治工作年度计划，完善工作机制，负责学校结核病疫情监测、疫情调查处置及肺结核患者治疗管理，为学校提供具体防控措施建议和技术支持。根据按胸片87.1元／人、PPD皮肤实验31元（试剂28.5、注射费2.5）/人的标准和教育部门报送的招生计划人数，将中学生结核病防治干预项目筛查经费列入当年单位预算，根据实际完成筛查人数向县财政局提交资金划拨申请，并及时向筛查机构核拨资金。</w:t>
      </w:r>
    </w:p>
    <w:p>
      <w:pPr>
        <w:pStyle w:val="9"/>
        <w:autoSpaceDE w:val="0"/>
        <w:autoSpaceDN w:val="0"/>
        <w:adjustRightInd w:val="0"/>
        <w:snapToGrid w:val="0"/>
        <w:spacing w:line="600" w:lineRule="exact"/>
        <w:ind w:firstLine="640" w:firstLineChars="200"/>
        <w:rPr>
          <w:rFonts w:eastAsia="楷体_GB2312" w:cs="Times New Roman"/>
          <w:color w:val="000000"/>
          <w:kern w:val="0"/>
          <w:sz w:val="32"/>
          <w:szCs w:val="32"/>
        </w:rPr>
      </w:pPr>
      <w:r>
        <w:rPr>
          <w:rFonts w:eastAsia="楷体_GB2312" w:cs="Times New Roman"/>
          <w:color w:val="000000"/>
          <w:kern w:val="0"/>
          <w:sz w:val="32"/>
          <w:szCs w:val="32"/>
        </w:rPr>
        <w:t>（</w:t>
      </w:r>
      <w:r>
        <w:rPr>
          <w:rFonts w:hint="eastAsia" w:eastAsia="楷体_GB2312" w:cs="Times New Roman"/>
          <w:color w:val="000000"/>
          <w:kern w:val="0"/>
          <w:sz w:val="32"/>
          <w:szCs w:val="32"/>
        </w:rPr>
        <w:t>五</w:t>
      </w:r>
      <w:r>
        <w:rPr>
          <w:rFonts w:eastAsia="楷体_GB2312" w:cs="Times New Roman"/>
          <w:color w:val="000000"/>
          <w:kern w:val="0"/>
          <w:sz w:val="32"/>
          <w:szCs w:val="32"/>
        </w:rPr>
        <w:t>）医疗机构</w:t>
      </w:r>
      <w:r>
        <w:rPr>
          <w:rFonts w:hint="eastAsia" w:eastAsia="楷体_GB2312" w:cs="Times New Roman"/>
          <w:color w:val="000000"/>
          <w:kern w:val="0"/>
          <w:sz w:val="32"/>
          <w:szCs w:val="32"/>
        </w:rPr>
        <w:t>（县慢病站，各镇卫生院）</w:t>
      </w:r>
    </w:p>
    <w:p>
      <w:pPr>
        <w:pStyle w:val="9"/>
        <w:autoSpaceDE w:val="0"/>
        <w:autoSpaceDN w:val="0"/>
        <w:adjustRightInd w:val="0"/>
        <w:snapToGrid w:val="0"/>
        <w:spacing w:line="600" w:lineRule="exact"/>
        <w:ind w:firstLine="640" w:firstLineChars="200"/>
        <w:rPr>
          <w:rFonts w:eastAsia="仿宋_GB2312" w:cs="Times New Roman"/>
          <w:color w:val="auto"/>
          <w:kern w:val="0"/>
          <w:sz w:val="32"/>
          <w:szCs w:val="32"/>
        </w:rPr>
      </w:pPr>
      <w:r>
        <w:rPr>
          <w:rFonts w:hint="eastAsia" w:ascii="仿宋_GB2312" w:hAnsi="仿宋_GB2312" w:eastAsia="仿宋_GB2312" w:cs="仿宋_GB2312"/>
          <w:color w:val="000000"/>
          <w:kern w:val="0"/>
          <w:sz w:val="32"/>
          <w:szCs w:val="32"/>
        </w:rPr>
        <w:t>承担中学入学新生肺结核筛查任务的医疗机构需符合《关于印发〈广东省中小学健康体检有关事项管理办法修订意见〉的通知》（粤教体〔2010〕8号）的资质要求。负责制定筛查工作计划，</w:t>
      </w:r>
      <w:r>
        <w:rPr>
          <w:rFonts w:hint="eastAsia" w:ascii="仿宋_GB2312" w:hAnsi="仿宋_GB2312" w:eastAsia="仿宋_GB2312" w:cs="仿宋_GB2312"/>
          <w:color w:val="auto"/>
          <w:kern w:val="0"/>
          <w:sz w:val="32"/>
          <w:szCs w:val="32"/>
        </w:rPr>
        <w:t>成立筛查工作小组和应急处置小组，</w:t>
      </w:r>
      <w:r>
        <w:rPr>
          <w:rFonts w:hint="eastAsia" w:ascii="仿宋_GB2312" w:hAnsi="仿宋_GB2312" w:eastAsia="仿宋_GB2312" w:cs="仿宋_GB2312"/>
          <w:color w:val="000000"/>
          <w:kern w:val="0"/>
          <w:sz w:val="32"/>
          <w:szCs w:val="32"/>
        </w:rPr>
        <w:t>按时完成所承接的中学入学新生肺结核筛查工作任务；</w:t>
      </w:r>
      <w:r>
        <w:rPr>
          <w:rFonts w:hint="eastAsia" w:ascii="仿宋_GB2312" w:hAnsi="仿宋_GB2312" w:eastAsia="仿宋_GB2312" w:cs="仿宋_GB2312"/>
          <w:color w:val="000000"/>
          <w:kern w:val="0"/>
          <w:sz w:val="32"/>
          <w:szCs w:val="32"/>
          <w:lang w:eastAsia="zh-CN"/>
        </w:rPr>
        <w:t>选取</w:t>
      </w:r>
      <w:r>
        <w:rPr>
          <w:rFonts w:hint="eastAsia" w:eastAsia="仿宋_GB2312" w:cs="Times New Roman"/>
          <w:color w:val="auto"/>
          <w:kern w:val="0"/>
          <w:sz w:val="32"/>
          <w:szCs w:val="32"/>
        </w:rPr>
        <w:t>符合资质的</w:t>
      </w:r>
      <w:r>
        <w:rPr>
          <w:rFonts w:hint="eastAsia" w:eastAsia="仿宋_GB2312" w:cs="Times New Roman"/>
          <w:color w:val="auto"/>
          <w:kern w:val="0"/>
          <w:sz w:val="32"/>
          <w:szCs w:val="32"/>
          <w:lang w:eastAsia="zh-CN"/>
        </w:rPr>
        <w:t>医务</w:t>
      </w:r>
      <w:r>
        <w:rPr>
          <w:rFonts w:hint="eastAsia" w:eastAsia="仿宋_GB2312" w:cs="Times New Roman"/>
          <w:color w:val="auto"/>
          <w:kern w:val="0"/>
          <w:sz w:val="32"/>
          <w:szCs w:val="32"/>
        </w:rPr>
        <w:t>人员以及符合医疗卫生标准的医疗器材，具备检查时发生应急事故处理的能力，</w:t>
      </w:r>
      <w:r>
        <w:rPr>
          <w:rFonts w:hint="eastAsia" w:eastAsia="仿宋_GB2312" w:cs="Times New Roman"/>
          <w:color w:val="auto"/>
          <w:kern w:val="0"/>
          <w:sz w:val="32"/>
          <w:szCs w:val="32"/>
          <w:lang w:eastAsia="zh-CN"/>
        </w:rPr>
        <w:t>指导学校提供符合条件的检查场所并做好消毒工作，</w:t>
      </w:r>
      <w:r>
        <w:rPr>
          <w:rFonts w:hint="eastAsia" w:eastAsia="仿宋_GB2312" w:cs="Times New Roman"/>
          <w:color w:val="auto"/>
          <w:kern w:val="0"/>
          <w:sz w:val="32"/>
          <w:szCs w:val="32"/>
        </w:rPr>
        <w:t>做好学生检查前后的卫生知识教育和相关措施。</w:t>
      </w:r>
    </w:p>
    <w:p>
      <w:pPr>
        <w:pStyle w:val="9"/>
        <w:autoSpaceDE w:val="0"/>
        <w:autoSpaceDN w:val="0"/>
        <w:adjustRightInd w:val="0"/>
        <w:snapToGrid w:val="0"/>
        <w:spacing w:line="600" w:lineRule="exact"/>
        <w:ind w:firstLine="640" w:firstLineChars="200"/>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对体检中发现的疑似肺结核患者，依法落实报告与转诊职责，同时将患者的基本信息和胸部DR影像等资料报送给县慢病站，由县慢病站统一管理与跟踪；筛查工作结束后1个月内将筛查工作总结（含实际参加肺结核筛查的总人数）报县慢病站，县慢病站汇总后再上报卫计局。</w:t>
      </w:r>
    </w:p>
    <w:p>
      <w:pPr>
        <w:pStyle w:val="9"/>
        <w:autoSpaceDE w:val="0"/>
        <w:autoSpaceDN w:val="0"/>
        <w:adjustRightInd w:val="0"/>
        <w:snapToGrid w:val="0"/>
        <w:spacing w:line="600" w:lineRule="exact"/>
        <w:ind w:firstLine="640" w:firstLineChars="200"/>
        <w:rPr>
          <w:rFonts w:eastAsia="仿宋_GB2312" w:cs="Times New Roman"/>
          <w:kern w:val="0"/>
          <w:sz w:val="32"/>
          <w:szCs w:val="32"/>
        </w:rPr>
      </w:pPr>
      <w:r>
        <w:rPr>
          <w:rFonts w:eastAsia="楷体_GB2312" w:cs="Times New Roman"/>
          <w:color w:val="000000"/>
          <w:kern w:val="0"/>
          <w:sz w:val="32"/>
          <w:szCs w:val="32"/>
        </w:rPr>
        <w:t>（</w:t>
      </w:r>
      <w:r>
        <w:rPr>
          <w:rFonts w:hint="eastAsia" w:eastAsia="楷体_GB2312" w:cs="Times New Roman"/>
          <w:color w:val="000000"/>
          <w:kern w:val="0"/>
          <w:sz w:val="32"/>
          <w:szCs w:val="32"/>
        </w:rPr>
        <w:t>六</w:t>
      </w:r>
      <w:r>
        <w:rPr>
          <w:rFonts w:eastAsia="楷体_GB2312" w:cs="Times New Roman"/>
          <w:color w:val="000000"/>
          <w:kern w:val="0"/>
          <w:sz w:val="32"/>
          <w:szCs w:val="32"/>
        </w:rPr>
        <w:t>）</w:t>
      </w:r>
      <w:r>
        <w:rPr>
          <w:rFonts w:hint="eastAsia" w:eastAsia="楷体_GB2312" w:cs="Times New Roman"/>
          <w:kern w:val="0"/>
          <w:sz w:val="32"/>
          <w:szCs w:val="32"/>
        </w:rPr>
        <w:t>各级中学</w:t>
      </w:r>
      <w:r>
        <w:rPr>
          <w:rFonts w:eastAsia="楷体_GB2312" w:cs="Times New Roman"/>
          <w:kern w:val="0"/>
          <w:sz w:val="32"/>
          <w:szCs w:val="32"/>
        </w:rPr>
        <w:t>（普通高中、职业高中、初中）</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eastAsia="仿宋_GB2312" w:cs="Times New Roman"/>
          <w:color w:val="000000"/>
          <w:kern w:val="0"/>
          <w:sz w:val="32"/>
          <w:szCs w:val="32"/>
        </w:rPr>
        <w:t>负责</w:t>
      </w:r>
      <w:r>
        <w:rPr>
          <w:rFonts w:eastAsia="仿宋_GB2312" w:cs="Times New Roman"/>
          <w:kern w:val="0"/>
          <w:sz w:val="32"/>
          <w:szCs w:val="32"/>
        </w:rPr>
        <w:t>组织入学新生体检，</w:t>
      </w:r>
      <w:r>
        <w:rPr>
          <w:rFonts w:hint="eastAsia" w:eastAsia="仿宋_GB2312" w:cs="Times New Roman"/>
          <w:kern w:val="0"/>
          <w:sz w:val="32"/>
          <w:szCs w:val="32"/>
          <w:lang w:eastAsia="zh-CN"/>
        </w:rPr>
        <w:t>提供室内体检场所并配合医疗机构做好消毒工作，</w:t>
      </w:r>
      <w:r>
        <w:rPr>
          <w:rFonts w:eastAsia="仿宋_GB2312" w:cs="Times New Roman"/>
          <w:kern w:val="0"/>
          <w:sz w:val="32"/>
          <w:szCs w:val="32"/>
        </w:rPr>
        <w:t>做好体检工作计划和体检结果登记，</w:t>
      </w:r>
      <w:r>
        <w:rPr>
          <w:rFonts w:eastAsia="仿宋_GB2312" w:cs="Times New Roman"/>
          <w:color w:val="auto"/>
          <w:kern w:val="0"/>
          <w:sz w:val="32"/>
          <w:szCs w:val="32"/>
        </w:rPr>
        <w:t>体检工作结束后一个月内将体检工作</w:t>
      </w:r>
      <w:r>
        <w:rPr>
          <w:rFonts w:hint="eastAsia" w:eastAsia="仿宋_GB2312" w:cs="Times New Roman"/>
          <w:color w:val="auto"/>
          <w:kern w:val="0"/>
          <w:sz w:val="32"/>
          <w:szCs w:val="32"/>
          <w:lang w:eastAsia="zh-CN"/>
        </w:rPr>
        <w:t>报表</w:t>
      </w:r>
      <w:r>
        <w:rPr>
          <w:rFonts w:eastAsia="仿宋_GB2312" w:cs="Times New Roman"/>
          <w:color w:val="auto"/>
          <w:kern w:val="0"/>
          <w:sz w:val="32"/>
          <w:szCs w:val="32"/>
        </w:rPr>
        <w:t>（含实际体检人数）报主管部门；</w:t>
      </w:r>
      <w:r>
        <w:rPr>
          <w:rFonts w:eastAsia="仿宋_GB2312" w:cs="Times New Roman"/>
          <w:kern w:val="0"/>
          <w:sz w:val="32"/>
          <w:szCs w:val="32"/>
        </w:rPr>
        <w:t>将学校传染病防控工作纳入到学校工作计划</w:t>
      </w:r>
      <w:r>
        <w:rPr>
          <w:rFonts w:hint="eastAsia" w:eastAsia="仿宋_GB2312" w:cs="Times New Roman"/>
          <w:kern w:val="0"/>
          <w:sz w:val="32"/>
          <w:szCs w:val="32"/>
        </w:rPr>
        <w:t>；</w:t>
      </w:r>
      <w:r>
        <w:rPr>
          <w:rFonts w:eastAsia="仿宋_GB2312" w:cs="Times New Roman"/>
          <w:kern w:val="0"/>
          <w:sz w:val="32"/>
          <w:szCs w:val="32"/>
        </w:rPr>
        <w:t>制定传染病防控工作方案和管理制度，开展结核病防治健康教育；</w:t>
      </w:r>
      <w:r>
        <w:rPr>
          <w:rFonts w:eastAsia="仿宋_GB2312" w:cs="Times New Roman"/>
          <w:color w:val="000000"/>
          <w:kern w:val="0"/>
          <w:sz w:val="32"/>
          <w:szCs w:val="32"/>
        </w:rPr>
        <w:t>组织校医等有关人员参加结核病防控知识培训；配合</w:t>
      </w:r>
      <w:r>
        <w:rPr>
          <w:rFonts w:hint="eastAsia" w:eastAsia="仿宋_GB2312" w:cs="Times New Roman"/>
          <w:color w:val="000000"/>
          <w:kern w:val="0"/>
          <w:sz w:val="32"/>
          <w:szCs w:val="32"/>
        </w:rPr>
        <w:t>县卫计局</w:t>
      </w:r>
      <w:r>
        <w:rPr>
          <w:rFonts w:eastAsia="仿宋_GB2312" w:cs="Times New Roman"/>
          <w:color w:val="000000"/>
          <w:kern w:val="0"/>
          <w:sz w:val="32"/>
          <w:szCs w:val="32"/>
        </w:rPr>
        <w:t>做好肺结核疫情调查处置等工作。</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eastAsia="仿宋_GB2312" w:cs="Times New Roman"/>
          <w:color w:val="000000"/>
          <w:kern w:val="0"/>
          <w:sz w:val="32"/>
          <w:szCs w:val="32"/>
        </w:rPr>
        <w:t>负责肺结核学生的休学和复学管理，根据县级及以上结核病防治机构的休学诊断证明，对患肺结核的学生采取休学管理。患病学生经规范治疗并取得治疗地县级及以上结核病防治机构出具的复学证明后，方可复学。对经县级及以上结核病防治机构诊断不具传染性、不需休学的学生肺结核病例，校医及班主任应当协助</w:t>
      </w:r>
      <w:r>
        <w:rPr>
          <w:rFonts w:hint="eastAsia" w:eastAsia="仿宋_GB2312" w:cs="Times New Roman"/>
          <w:color w:val="000000"/>
          <w:kern w:val="0"/>
          <w:sz w:val="32"/>
          <w:szCs w:val="32"/>
        </w:rPr>
        <w:t>县慢病站</w:t>
      </w:r>
      <w:r>
        <w:rPr>
          <w:rFonts w:eastAsia="仿宋_GB2312" w:cs="Times New Roman"/>
          <w:color w:val="000000"/>
          <w:kern w:val="0"/>
          <w:sz w:val="32"/>
          <w:szCs w:val="32"/>
        </w:rPr>
        <w:t>督促患者按时服药，并定期到</w:t>
      </w:r>
      <w:r>
        <w:rPr>
          <w:rFonts w:hint="eastAsia" w:eastAsia="仿宋_GB2312" w:cs="Times New Roman"/>
          <w:color w:val="000000"/>
          <w:kern w:val="0"/>
          <w:sz w:val="32"/>
          <w:szCs w:val="32"/>
        </w:rPr>
        <w:t>县慢病站</w:t>
      </w:r>
      <w:r>
        <w:rPr>
          <w:rFonts w:eastAsia="仿宋_GB2312" w:cs="Times New Roman"/>
          <w:color w:val="000000"/>
          <w:kern w:val="0"/>
          <w:sz w:val="32"/>
          <w:szCs w:val="32"/>
        </w:rPr>
        <w:t>进行复查。</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eastAsia="黑体" w:cs="Times New Roman"/>
          <w:color w:val="000000"/>
          <w:kern w:val="0"/>
          <w:sz w:val="32"/>
          <w:szCs w:val="32"/>
        </w:rPr>
        <w:t>六、实施步骤</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eastAsia="楷体_GB2312" w:cs="Times New Roman"/>
          <w:color w:val="000000"/>
          <w:kern w:val="0"/>
          <w:sz w:val="32"/>
          <w:szCs w:val="32"/>
        </w:rPr>
        <w:t>（一）部署阶段（每年6-9月）。</w:t>
      </w:r>
      <w:r>
        <w:rPr>
          <w:rFonts w:eastAsia="仿宋_GB2312" w:cs="Times New Roman"/>
          <w:color w:val="000000"/>
          <w:kern w:val="0"/>
          <w:sz w:val="32"/>
          <w:szCs w:val="32"/>
        </w:rPr>
        <w:t>各有关单位根据本方案，结合自身职责和工作实际，制定本单位具体实施方案或工作计划，明确工作要求，组织宣传培训，全面部署开展工作。</w:t>
      </w:r>
    </w:p>
    <w:p>
      <w:pPr>
        <w:pStyle w:val="9"/>
        <w:autoSpaceDE w:val="0"/>
        <w:autoSpaceDN w:val="0"/>
        <w:adjustRightInd w:val="0"/>
        <w:snapToGrid w:val="0"/>
        <w:spacing w:line="600" w:lineRule="exact"/>
        <w:ind w:firstLine="640" w:firstLineChars="200"/>
        <w:rPr>
          <w:rFonts w:ascii="仿宋_GB2312" w:hAnsi="仿宋_GB2312" w:eastAsia="仿宋_GB2312" w:cs="仿宋_GB2312"/>
          <w:color w:val="000000"/>
          <w:kern w:val="0"/>
          <w:sz w:val="32"/>
          <w:szCs w:val="32"/>
        </w:rPr>
      </w:pPr>
      <w:r>
        <w:rPr>
          <w:rFonts w:eastAsia="楷体_GB2312" w:cs="Times New Roman"/>
          <w:color w:val="000000"/>
          <w:kern w:val="0"/>
          <w:sz w:val="32"/>
          <w:szCs w:val="32"/>
        </w:rPr>
        <w:t>（二）实施阶段</w:t>
      </w:r>
      <w:r>
        <w:rPr>
          <w:rFonts w:eastAsia="楷体_GB2312" w:cs="Times New Roman"/>
          <w:color w:val="auto"/>
          <w:kern w:val="0"/>
          <w:sz w:val="32"/>
          <w:szCs w:val="32"/>
        </w:rPr>
        <w:t>（每年9-1</w:t>
      </w:r>
      <w:r>
        <w:rPr>
          <w:rFonts w:hint="eastAsia" w:eastAsia="楷体_GB2312" w:cs="Times New Roman"/>
          <w:color w:val="auto"/>
          <w:kern w:val="0"/>
          <w:sz w:val="32"/>
          <w:szCs w:val="32"/>
        </w:rPr>
        <w:t>0</w:t>
      </w:r>
      <w:r>
        <w:rPr>
          <w:rFonts w:eastAsia="楷体_GB2312" w:cs="Times New Roman"/>
          <w:color w:val="auto"/>
          <w:kern w:val="0"/>
          <w:sz w:val="32"/>
          <w:szCs w:val="32"/>
        </w:rPr>
        <w:t>月）。</w:t>
      </w:r>
      <w:r>
        <w:rPr>
          <w:rFonts w:hint="eastAsia" w:ascii="仿宋_GB2312" w:hAnsi="仿宋_GB2312" w:eastAsia="仿宋_GB2312" w:cs="仿宋_GB2312"/>
          <w:color w:val="000000"/>
          <w:kern w:val="0"/>
          <w:sz w:val="32"/>
          <w:szCs w:val="32"/>
        </w:rPr>
        <w:t>组织全县中学（含普通高中、职业高中、初中）入学新生由指定医疗机构进行PPD皮试检查，</w:t>
      </w:r>
      <w:r>
        <w:rPr>
          <w:rFonts w:hint="eastAsia" w:ascii="仿宋_GB2312" w:hAnsi="仿宋_GB2312" w:eastAsia="仿宋_GB2312" w:cs="仿宋_GB2312"/>
          <w:color w:val="auto"/>
          <w:kern w:val="0"/>
          <w:sz w:val="32"/>
          <w:szCs w:val="32"/>
        </w:rPr>
        <w:t>具体时间由各医疗机构与学校商定。</w:t>
      </w:r>
      <w:r>
        <w:rPr>
          <w:rFonts w:hint="eastAsia" w:ascii="仿宋_GB2312" w:hAnsi="仿宋_GB2312" w:eastAsia="仿宋_GB2312" w:cs="仿宋_GB2312"/>
          <w:color w:val="000000"/>
          <w:kern w:val="0"/>
          <w:sz w:val="32"/>
          <w:szCs w:val="32"/>
        </w:rPr>
        <w:t>发生学校肺结核疫情时，要及时组织学校开展密切接触者筛查工作。</w:t>
      </w:r>
    </w:p>
    <w:p>
      <w:pPr>
        <w:pStyle w:val="9"/>
        <w:autoSpaceDE w:val="0"/>
        <w:autoSpaceDN w:val="0"/>
        <w:adjustRightInd w:val="0"/>
        <w:snapToGrid w:val="0"/>
        <w:spacing w:line="600" w:lineRule="exact"/>
        <w:ind w:firstLine="640" w:firstLineChars="200"/>
        <w:rPr>
          <w:rFonts w:eastAsia="黑体" w:cs="Times New Roman"/>
          <w:color w:val="000000"/>
          <w:kern w:val="0"/>
          <w:sz w:val="36"/>
          <w:szCs w:val="36"/>
        </w:rPr>
      </w:pPr>
      <w:r>
        <w:rPr>
          <w:rFonts w:eastAsia="楷体_GB2312" w:cs="Times New Roman"/>
          <w:color w:val="000000"/>
          <w:kern w:val="0"/>
          <w:sz w:val="32"/>
          <w:szCs w:val="32"/>
        </w:rPr>
        <w:t>（三）总结阶段</w:t>
      </w:r>
      <w:r>
        <w:rPr>
          <w:rFonts w:eastAsia="楷体_GB2312" w:cs="Times New Roman"/>
          <w:color w:val="auto"/>
          <w:kern w:val="0"/>
          <w:sz w:val="32"/>
          <w:szCs w:val="32"/>
        </w:rPr>
        <w:t>（每年1</w:t>
      </w:r>
      <w:r>
        <w:rPr>
          <w:rFonts w:hint="eastAsia" w:eastAsia="楷体_GB2312" w:cs="Times New Roman"/>
          <w:color w:val="auto"/>
          <w:kern w:val="0"/>
          <w:sz w:val="32"/>
          <w:szCs w:val="32"/>
        </w:rPr>
        <w:t>0-11</w:t>
      </w:r>
      <w:r>
        <w:rPr>
          <w:rFonts w:eastAsia="楷体_GB2312" w:cs="Times New Roman"/>
          <w:color w:val="auto"/>
          <w:kern w:val="0"/>
          <w:sz w:val="32"/>
          <w:szCs w:val="32"/>
        </w:rPr>
        <w:t>月）。</w:t>
      </w:r>
      <w:r>
        <w:rPr>
          <w:rFonts w:eastAsia="仿宋_GB2312" w:cs="Times New Roman"/>
          <w:color w:val="000000"/>
          <w:kern w:val="0"/>
          <w:sz w:val="32"/>
          <w:szCs w:val="32"/>
        </w:rPr>
        <w:t>各单位</w:t>
      </w:r>
      <w:r>
        <w:rPr>
          <w:rFonts w:hint="eastAsia" w:eastAsia="仿宋_GB2312" w:cs="Times New Roman"/>
          <w:color w:val="000000"/>
          <w:kern w:val="0"/>
          <w:sz w:val="32"/>
          <w:szCs w:val="32"/>
        </w:rPr>
        <w:t>与每年10月</w:t>
      </w:r>
      <w:r>
        <w:rPr>
          <w:rFonts w:eastAsia="仿宋_GB2312" w:cs="Times New Roman"/>
          <w:color w:val="000000"/>
          <w:kern w:val="0"/>
          <w:sz w:val="32"/>
          <w:szCs w:val="32"/>
        </w:rPr>
        <w:t>整理汇总体检信息及结果，形成专项工作总结报告上级主管部门。</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eastAsia="黑体" w:cs="Times New Roman"/>
          <w:color w:val="000000"/>
          <w:kern w:val="0"/>
          <w:sz w:val="32"/>
          <w:szCs w:val="32"/>
        </w:rPr>
        <w:t>七、工作要求</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eastAsia="楷体_GB2312" w:cs="Times New Roman"/>
          <w:color w:val="000000"/>
          <w:kern w:val="0"/>
          <w:sz w:val="32"/>
          <w:szCs w:val="32"/>
        </w:rPr>
        <w:t>（一）提高认识，加强领导</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eastAsia="仿宋_GB2312" w:cs="Times New Roman"/>
          <w:color w:val="000000"/>
          <w:kern w:val="0"/>
          <w:sz w:val="32"/>
          <w:szCs w:val="32"/>
        </w:rPr>
        <w:t>中学生结核病防治干预项目是有效减少学校结核病聚集性疫情发生重要措施之一。各单位要高度重视、加强组织领导，明确职责分工，完善工作机制，落实经费保障，确保项目按时按质完成。</w:t>
      </w:r>
    </w:p>
    <w:p>
      <w:pPr>
        <w:pStyle w:val="9"/>
        <w:autoSpaceDE w:val="0"/>
        <w:autoSpaceDN w:val="0"/>
        <w:adjustRightInd w:val="0"/>
        <w:snapToGrid w:val="0"/>
        <w:spacing w:line="600" w:lineRule="exact"/>
        <w:ind w:firstLine="640" w:firstLineChars="200"/>
        <w:rPr>
          <w:rFonts w:eastAsia="仿宋_GB2312" w:cs="Times New Roman"/>
          <w:b/>
          <w:color w:val="000000"/>
          <w:kern w:val="0"/>
          <w:sz w:val="32"/>
          <w:szCs w:val="32"/>
        </w:rPr>
      </w:pPr>
      <w:r>
        <w:rPr>
          <w:rFonts w:eastAsia="楷体_GB2312" w:cs="Times New Roman"/>
          <w:color w:val="000000"/>
          <w:kern w:val="0"/>
          <w:sz w:val="32"/>
          <w:szCs w:val="32"/>
        </w:rPr>
        <w:t>（二）加强宣传与信息报送</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eastAsia="仿宋_GB2312" w:cs="Times New Roman"/>
          <w:color w:val="000000"/>
          <w:kern w:val="0"/>
          <w:sz w:val="32"/>
          <w:szCs w:val="32"/>
        </w:rPr>
        <w:t>中学生结核病防治干预项目是一项惠及中学生工作。各单位要做好充分宣传发动，提高筛查覆盖面。学校在防治机构指导下，利用筛查现场做好入学新生及密切接触者结核病核心信息的宣传教育，提高学生自我防护结核病的意识。</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eastAsia="仿宋_GB2312" w:cs="Times New Roman"/>
          <w:color w:val="000000"/>
          <w:kern w:val="0"/>
          <w:sz w:val="32"/>
          <w:szCs w:val="32"/>
        </w:rPr>
        <w:t>各有关单位要指定专职人员负责中学生结核病防治干预项目信息报送和日常工作联络，确保工作衔接顺畅，信息真实、准确、可靠。</w:t>
      </w:r>
    </w:p>
    <w:p>
      <w:pPr>
        <w:pStyle w:val="9"/>
        <w:autoSpaceDE w:val="0"/>
        <w:autoSpaceDN w:val="0"/>
        <w:adjustRightInd w:val="0"/>
        <w:snapToGrid w:val="0"/>
        <w:spacing w:line="600" w:lineRule="exact"/>
        <w:ind w:firstLine="640" w:firstLineChars="200"/>
        <w:rPr>
          <w:rFonts w:eastAsia="楷体_GB2312" w:cs="Times New Roman"/>
          <w:color w:val="000000"/>
          <w:kern w:val="0"/>
          <w:sz w:val="32"/>
          <w:szCs w:val="32"/>
        </w:rPr>
      </w:pPr>
      <w:r>
        <w:rPr>
          <w:rFonts w:eastAsia="楷体_GB2312" w:cs="Times New Roman"/>
          <w:color w:val="000000"/>
          <w:kern w:val="0"/>
          <w:sz w:val="32"/>
          <w:szCs w:val="32"/>
        </w:rPr>
        <w:t>（三）定期开展督导评估</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hint="eastAsia" w:eastAsia="仿宋_GB2312" w:cs="Times New Roman"/>
          <w:color w:val="000000"/>
          <w:kern w:val="0"/>
          <w:sz w:val="32"/>
          <w:szCs w:val="32"/>
        </w:rPr>
        <w:t>县卫计局</w:t>
      </w:r>
      <w:r>
        <w:rPr>
          <w:rFonts w:eastAsia="仿宋_GB2312" w:cs="Times New Roman"/>
          <w:color w:val="000000"/>
          <w:kern w:val="0"/>
          <w:sz w:val="32"/>
          <w:szCs w:val="32"/>
        </w:rPr>
        <w:t>、</w:t>
      </w:r>
      <w:r>
        <w:rPr>
          <w:rFonts w:hint="eastAsia" w:eastAsia="仿宋_GB2312" w:cs="Times New Roman"/>
          <w:color w:val="000000"/>
          <w:kern w:val="0"/>
          <w:sz w:val="32"/>
          <w:szCs w:val="32"/>
        </w:rPr>
        <w:t>县</w:t>
      </w:r>
      <w:r>
        <w:rPr>
          <w:rFonts w:eastAsia="仿宋_GB2312" w:cs="Times New Roman"/>
          <w:color w:val="000000"/>
          <w:kern w:val="0"/>
          <w:sz w:val="32"/>
          <w:szCs w:val="32"/>
        </w:rPr>
        <w:t>教育</w:t>
      </w:r>
      <w:r>
        <w:rPr>
          <w:rFonts w:hint="eastAsia" w:eastAsia="仿宋_GB2312" w:cs="Times New Roman"/>
          <w:color w:val="000000"/>
          <w:kern w:val="0"/>
          <w:sz w:val="32"/>
          <w:szCs w:val="32"/>
        </w:rPr>
        <w:t>局</w:t>
      </w:r>
      <w:r>
        <w:rPr>
          <w:rFonts w:eastAsia="仿宋_GB2312" w:cs="Times New Roman"/>
          <w:color w:val="000000"/>
          <w:kern w:val="0"/>
          <w:sz w:val="32"/>
          <w:szCs w:val="32"/>
        </w:rPr>
        <w:t>、</w:t>
      </w:r>
      <w:r>
        <w:rPr>
          <w:rFonts w:hint="eastAsia" w:eastAsia="仿宋_GB2312" w:cs="Times New Roman"/>
          <w:color w:val="000000"/>
          <w:kern w:val="0"/>
          <w:sz w:val="32"/>
          <w:szCs w:val="32"/>
        </w:rPr>
        <w:t>县</w:t>
      </w:r>
      <w:r>
        <w:rPr>
          <w:rFonts w:eastAsia="仿宋_GB2312" w:cs="Times New Roman"/>
          <w:color w:val="000000"/>
          <w:kern w:val="0"/>
          <w:sz w:val="32"/>
          <w:szCs w:val="32"/>
        </w:rPr>
        <w:t>财政</w:t>
      </w:r>
      <w:r>
        <w:rPr>
          <w:rFonts w:hint="eastAsia" w:eastAsia="仿宋_GB2312" w:cs="Times New Roman"/>
          <w:color w:val="000000"/>
          <w:kern w:val="0"/>
          <w:sz w:val="32"/>
          <w:szCs w:val="32"/>
        </w:rPr>
        <w:t>局</w:t>
      </w:r>
      <w:r>
        <w:rPr>
          <w:rFonts w:eastAsia="仿宋_GB2312" w:cs="Times New Roman"/>
          <w:color w:val="000000"/>
          <w:kern w:val="0"/>
          <w:sz w:val="32"/>
          <w:szCs w:val="32"/>
        </w:rPr>
        <w:t>等部门要及时联合对学校及医疗机构落实中学生结核病防治干预项目情况开展督导评估，对各项具体工作、经费使用等情况进行督导、保证项目顺利实施。</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p>
    <w:p>
      <w:pPr>
        <w:pStyle w:val="12"/>
        <w:keepNext w:val="0"/>
        <w:keepLines w:val="0"/>
        <w:pageBreakBefore w:val="0"/>
        <w:widowControl w:val="0"/>
        <w:kinsoku/>
        <w:wordWrap/>
        <w:overflowPunct/>
        <w:topLinePunct w:val="0"/>
        <w:autoSpaceDE/>
        <w:autoSpaceDN/>
        <w:bidi w:val="0"/>
        <w:adjustRightInd/>
        <w:snapToGrid/>
        <w:spacing w:before="0" w:beforeLines="0" w:after="0" w:afterLines="0" w:line="600" w:lineRule="exact"/>
        <w:ind w:right="0" w:rightChars="0"/>
        <w:textAlignment w:val="auto"/>
        <w:outlineLvl w:val="9"/>
        <w:rPr>
          <w:rFonts w:hint="eastAsia" w:ascii="仿宋_GB2312" w:hAnsi="仿宋_GB2312" w:eastAsia="仿宋_GB2312"/>
          <w:spacing w:val="0"/>
          <w:sz w:val="32"/>
          <w:szCs w:val="32"/>
          <w:lang w:eastAsia="zh-CN"/>
        </w:rPr>
      </w:pPr>
      <w:r>
        <w:rPr>
          <w:rFonts w:hint="eastAsia" w:ascii="黑体" w:hAnsi="黑体" w:eastAsia="黑体"/>
          <w:b w:val="0"/>
          <w:bCs w:val="0"/>
          <w:spacing w:val="0"/>
          <w:sz w:val="32"/>
          <w:szCs w:val="32"/>
          <w:lang w:eastAsia="zh-CN"/>
        </w:rPr>
        <w:t>公开形式：</w:t>
      </w:r>
      <w:r>
        <w:rPr>
          <w:rFonts w:hint="eastAsia" w:ascii="仿宋_GB2312" w:hAnsi="仿宋_GB2312" w:eastAsia="仿宋_GB2312"/>
          <w:spacing w:val="0"/>
          <w:sz w:val="32"/>
          <w:szCs w:val="32"/>
          <w:lang w:eastAsia="zh-CN"/>
        </w:rPr>
        <w:t>主动公开</w:t>
      </w:r>
    </w:p>
    <w:p>
      <w:pPr>
        <w:pStyle w:val="12"/>
        <w:keepNext w:val="0"/>
        <w:keepLines w:val="0"/>
        <w:pageBreakBefore w:val="0"/>
        <w:widowControl w:val="0"/>
        <w:kinsoku/>
        <w:wordWrap/>
        <w:overflowPunct/>
        <w:topLinePunct w:val="0"/>
        <w:autoSpaceDE/>
        <w:autoSpaceDN/>
        <w:bidi w:val="0"/>
        <w:adjustRightInd/>
        <w:snapToGrid/>
        <w:spacing w:before="0" w:beforeLines="0" w:after="0" w:afterLines="0" w:line="600" w:lineRule="exact"/>
        <w:ind w:left="0" w:leftChars="0" w:right="0" w:rightChars="0" w:firstLine="630" w:firstLineChars="0"/>
        <w:textAlignment w:val="auto"/>
        <w:outlineLvl w:val="9"/>
        <w:rPr>
          <w:rFonts w:hint="eastAsia" w:ascii="仿宋_GB2312" w:hAnsi="仿宋_GB2312" w:eastAsia="仿宋_GB2312"/>
          <w:spacing w:val="0"/>
          <w:sz w:val="32"/>
          <w:szCs w:val="32"/>
        </w:rPr>
      </w:pPr>
    </w:p>
    <w:p>
      <w:pPr>
        <w:pStyle w:val="12"/>
        <w:keepNext w:val="0"/>
        <w:keepLines w:val="0"/>
        <w:pageBreakBefore w:val="0"/>
        <w:widowControl w:val="0"/>
        <w:kinsoku/>
        <w:wordWrap/>
        <w:overflowPunct/>
        <w:topLinePunct w:val="0"/>
        <w:autoSpaceDE/>
        <w:autoSpaceDN/>
        <w:bidi w:val="0"/>
        <w:adjustRightInd/>
        <w:snapToGrid/>
        <w:spacing w:before="0" w:beforeLines="0" w:after="0" w:afterLines="0" w:line="600" w:lineRule="exact"/>
        <w:ind w:left="0" w:leftChars="0" w:right="0" w:rightChars="0" w:firstLine="630" w:firstLineChars="0"/>
        <w:textAlignment w:val="auto"/>
        <w:outlineLvl w:val="9"/>
        <w:rPr>
          <w:rFonts w:hint="eastAsia" w:ascii="仿宋_GB2312" w:hAnsi="仿宋_GB2312" w:eastAsia="仿宋_GB2312"/>
          <w:spacing w:val="0"/>
          <w:sz w:val="32"/>
          <w:szCs w:val="32"/>
        </w:rPr>
      </w:pPr>
    </w:p>
    <w:p>
      <w:pPr>
        <w:pStyle w:val="12"/>
        <w:keepNext w:val="0"/>
        <w:keepLines w:val="0"/>
        <w:pageBreakBefore w:val="0"/>
        <w:widowControl w:val="0"/>
        <w:kinsoku/>
        <w:wordWrap/>
        <w:overflowPunct/>
        <w:topLinePunct w:val="0"/>
        <w:autoSpaceDE/>
        <w:autoSpaceDN/>
        <w:bidi w:val="0"/>
        <w:adjustRightInd/>
        <w:snapToGrid/>
        <w:spacing w:before="0" w:beforeLines="0" w:after="0" w:afterLines="0" w:line="600" w:lineRule="exact"/>
        <w:ind w:left="0" w:leftChars="0" w:right="0" w:rightChars="0" w:firstLine="630" w:firstLineChars="0"/>
        <w:textAlignment w:val="auto"/>
        <w:outlineLvl w:val="9"/>
        <w:rPr>
          <w:rFonts w:hint="eastAsia" w:ascii="仿宋_GB2312" w:hAnsi="仿宋_GB2312" w:eastAsia="仿宋_GB2312"/>
          <w:spacing w:val="0"/>
          <w:sz w:val="32"/>
          <w:szCs w:val="32"/>
        </w:rPr>
      </w:pPr>
    </w:p>
    <w:p>
      <w:pPr>
        <w:pStyle w:val="12"/>
        <w:keepNext w:val="0"/>
        <w:keepLines w:val="0"/>
        <w:pageBreakBefore w:val="0"/>
        <w:widowControl w:val="0"/>
        <w:kinsoku/>
        <w:wordWrap/>
        <w:overflowPunct/>
        <w:topLinePunct w:val="0"/>
        <w:autoSpaceDE/>
        <w:autoSpaceDN/>
        <w:bidi w:val="0"/>
        <w:adjustRightInd/>
        <w:snapToGrid/>
        <w:spacing w:before="0" w:beforeLines="0" w:after="0" w:afterLines="0" w:line="600" w:lineRule="exact"/>
        <w:ind w:right="0" w:rightChars="0"/>
        <w:textAlignment w:val="auto"/>
        <w:outlineLvl w:val="9"/>
        <w:rPr>
          <w:rFonts w:hint="eastAsia" w:ascii="仿宋_GB2312" w:hAnsi="仿宋_GB2312" w:eastAsia="仿宋_GB2312"/>
          <w:spacing w:val="-9"/>
          <w:sz w:val="32"/>
          <w:szCs w:val="32"/>
        </w:rPr>
      </w:pPr>
      <w:r>
        <w:rPr>
          <w:rFonts w:hint="eastAsia" w:ascii="仿宋_GB2312" w:hAnsi="仿宋_GB2312" w:eastAsia="仿宋_GB2312"/>
          <w:spacing w:val="-9"/>
          <w:w w:val="98"/>
          <w:sz w:val="32"/>
          <w:szCs w:val="32"/>
        </w:rPr>
        <mc:AlternateContent>
          <mc:Choice Requires="wps">
            <w:drawing>
              <wp:anchor distT="0" distB="0" distL="114300" distR="114300" simplePos="0" relativeHeight="251663360" behindDoc="0" locked="0" layoutInCell="1" allowOverlap="1">
                <wp:simplePos x="0" y="0"/>
                <wp:positionH relativeFrom="column">
                  <wp:posOffset>0</wp:posOffset>
                </wp:positionH>
                <wp:positionV relativeFrom="paragraph">
                  <wp:posOffset>24130</wp:posOffset>
                </wp:positionV>
                <wp:extent cx="5667375" cy="0"/>
                <wp:effectExtent l="0" t="0" r="0" b="0"/>
                <wp:wrapNone/>
                <wp:docPr id="2" name="直接连接符 2"/>
                <wp:cNvGraphicFramePr/>
                <a:graphic xmlns:a="http://schemas.openxmlformats.org/drawingml/2006/main">
                  <a:graphicData uri="http://schemas.microsoft.com/office/word/2010/wordprocessingShape">
                    <wps:wsp>
                      <wps:cNvCnPr/>
                      <wps:spPr>
                        <a:xfrm>
                          <a:off x="0" y="0"/>
                          <a:ext cx="566737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1.9pt;height:0pt;width:446.25pt;z-index:251663360;mso-width-relative:page;mso-height-relative:page;" filled="f" stroked="t" coordsize="21600,21600" o:gfxdata="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gZyqcdIAAAAEAQAADwAAAAAAAAABACAA&#10;AAAiAAAAZHJzL2Rvd25yZXYueG1sUEsBAhQAFAAAAAgAh07iQH2NGFfaAQAAlgMAAA4AAAAAAAAA&#10;AQAgAAAAIQEAAGRycy9lMm9Eb2MueG1sUEsFBgAAAAAGAAYAWQEAAG0FAAAAAA==&#10;">
                <v:fill on="f" focussize="0,0"/>
                <v:stroke color="#000000" joinstyle="round"/>
                <v:imagedata o:title=""/>
                <o:lock v:ext="edit" aspectratio="f"/>
              </v:line>
            </w:pict>
          </mc:Fallback>
        </mc:AlternateContent>
      </w:r>
      <w:r>
        <w:rPr>
          <w:rFonts w:hint="eastAsia" w:ascii="仿宋_GB2312" w:hAnsi="仿宋_GB2312" w:eastAsia="仿宋_GB2312"/>
          <w:spacing w:val="-9"/>
          <w:w w:val="98"/>
          <w:sz w:val="32"/>
          <w:szCs w:val="32"/>
        </w:rPr>
        <w:t>乳源瑶族自治县卫生</w:t>
      </w:r>
      <w:r>
        <w:rPr>
          <w:rFonts w:hint="eastAsia" w:ascii="仿宋_GB2312" w:hAnsi="仿宋_GB2312" w:eastAsia="仿宋_GB2312"/>
          <w:spacing w:val="-9"/>
          <w:w w:val="98"/>
          <w:sz w:val="32"/>
          <w:szCs w:val="32"/>
          <w:lang w:eastAsia="zh-CN"/>
        </w:rPr>
        <w:t>和计划生育</w:t>
      </w:r>
      <w:r>
        <w:rPr>
          <w:rFonts w:hint="eastAsia" w:ascii="仿宋_GB2312" w:hAnsi="仿宋_GB2312" w:eastAsia="仿宋_GB2312"/>
          <w:spacing w:val="-9"/>
          <w:w w:val="98"/>
          <w:sz w:val="32"/>
          <w:szCs w:val="32"/>
        </w:rPr>
        <w:t>局办公室</w:t>
      </w:r>
      <w:r>
        <w:rPr>
          <w:rFonts w:hint="eastAsia" w:ascii="仿宋_GB2312" w:hAnsi="仿宋_GB2312" w:eastAsia="仿宋_GB2312"/>
          <w:spacing w:val="-9"/>
          <w:w w:val="98"/>
          <w:sz w:val="32"/>
          <w:szCs w:val="32"/>
          <w:lang w:val="en-US" w:eastAsia="zh-CN"/>
        </w:rPr>
        <w:t xml:space="preserve"> </w:t>
      </w:r>
      <w:r>
        <w:rPr>
          <w:rFonts w:hint="eastAsia" w:ascii="仿宋_GB2312" w:hAnsi="仿宋_GB2312" w:eastAsia="仿宋_GB2312"/>
          <w:spacing w:val="-9"/>
          <w:w w:val="98"/>
          <w:sz w:val="32"/>
          <w:szCs w:val="32"/>
        </w:rPr>
        <w:t xml:space="preserve"> 201</w:t>
      </w:r>
      <w:r>
        <w:rPr>
          <w:rFonts w:hint="eastAsia" w:ascii="仿宋_GB2312" w:hAnsi="仿宋_GB2312" w:eastAsia="仿宋_GB2312"/>
          <w:spacing w:val="-9"/>
          <w:w w:val="98"/>
          <w:sz w:val="32"/>
          <w:szCs w:val="32"/>
          <w:lang w:val="en-US" w:eastAsia="zh-CN"/>
        </w:rPr>
        <w:t>8</w:t>
      </w:r>
      <w:r>
        <w:rPr>
          <w:rFonts w:hint="eastAsia" w:ascii="仿宋_GB2312" w:hAnsi="仿宋_GB2312" w:eastAsia="仿宋_GB2312"/>
          <w:spacing w:val="-9"/>
          <w:w w:val="98"/>
          <w:sz w:val="32"/>
          <w:szCs w:val="32"/>
        </w:rPr>
        <w:t>年</w:t>
      </w:r>
      <w:r>
        <w:rPr>
          <w:rFonts w:hint="eastAsia" w:ascii="仿宋_GB2312" w:hAnsi="仿宋_GB2312" w:eastAsia="仿宋_GB2312"/>
          <w:spacing w:val="-9"/>
          <w:w w:val="98"/>
          <w:sz w:val="32"/>
          <w:szCs w:val="32"/>
          <w:lang w:val="en-US" w:eastAsia="zh-CN"/>
        </w:rPr>
        <w:t>8</w:t>
      </w:r>
      <w:r>
        <w:rPr>
          <w:rFonts w:hint="eastAsia" w:ascii="仿宋_GB2312" w:hAnsi="仿宋_GB2312" w:eastAsia="仿宋_GB2312"/>
          <w:spacing w:val="-9"/>
          <w:w w:val="98"/>
          <w:sz w:val="32"/>
          <w:szCs w:val="32"/>
        </w:rPr>
        <w:t>月</w:t>
      </w:r>
      <w:r>
        <w:rPr>
          <w:rFonts w:hint="eastAsia" w:ascii="仿宋_GB2312" w:hAnsi="仿宋_GB2312" w:eastAsia="仿宋_GB2312"/>
          <w:spacing w:val="-9"/>
          <w:w w:val="98"/>
          <w:sz w:val="32"/>
          <w:szCs w:val="32"/>
          <w:lang w:val="en-US" w:eastAsia="zh-CN"/>
        </w:rPr>
        <w:t>27日</w:t>
      </w:r>
      <w:r>
        <w:rPr>
          <w:rFonts w:hint="eastAsia" w:ascii="仿宋_GB2312" w:hAnsi="仿宋_GB2312" w:eastAsia="仿宋_GB2312"/>
          <w:spacing w:val="-9"/>
          <w:w w:val="98"/>
          <w:sz w:val="32"/>
          <w:szCs w:val="32"/>
        </w:rPr>
        <w:t>印发</w:t>
      </w:r>
    </w:p>
    <w:p>
      <w:pPr>
        <w:pStyle w:val="9"/>
        <w:autoSpaceDE w:val="0"/>
        <w:autoSpaceDN w:val="0"/>
        <w:adjustRightInd w:val="0"/>
        <w:snapToGrid w:val="0"/>
        <w:spacing w:line="600" w:lineRule="exact"/>
        <w:ind w:firstLine="640" w:firstLineChars="200"/>
        <w:rPr>
          <w:rFonts w:eastAsia="仿宋_GB2312" w:cs="Times New Roman"/>
          <w:color w:val="000000"/>
          <w:kern w:val="0"/>
          <w:sz w:val="32"/>
          <w:szCs w:val="32"/>
        </w:rPr>
      </w:pPr>
      <w:r>
        <w:rPr>
          <w:rFonts w:hint="eastAsia" w:ascii="仿宋_GB2312" w:hAnsi="仿宋_GB2312" w:eastAsia="仿宋_GB2312"/>
          <w:spacing w:val="0"/>
          <w:sz w:val="32"/>
          <w:szCs w:val="32"/>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32385</wp:posOffset>
                </wp:positionV>
                <wp:extent cx="5667375" cy="0"/>
                <wp:effectExtent l="0" t="0" r="0" b="0"/>
                <wp:wrapNone/>
                <wp:docPr id="3" name="直接连接符 3"/>
                <wp:cNvGraphicFramePr/>
                <a:graphic xmlns:a="http://schemas.openxmlformats.org/drawingml/2006/main">
                  <a:graphicData uri="http://schemas.microsoft.com/office/word/2010/wordprocessingShape">
                    <wps:wsp>
                      <wps:cNvCnPr/>
                      <wps:spPr>
                        <a:xfrm>
                          <a:off x="0" y="0"/>
                          <a:ext cx="566737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2.55pt;height:0pt;width:446.25pt;z-index:251664384;mso-width-relative:page;mso-height-relative:page;" filled="f" stroked="t" coordsize="21600,21600" o:gfxdata="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Ljd0efSAAAABAEAAA8AAAAAAAAAAQAg&#10;AAAAIgAAAGRycy9kb3ducmV2LnhtbFBLAQIUABQAAAAIAIdO4kBs5nw62wEAAJYDAAAOAAAAAAAA&#10;AAEAIAAAACEBAABkcnMvZTJvRG9jLnhtbFBLBQYAAAAABgAGAFkBAABuBQAAAAA=&#10;">
                <v:fill on="f" focussize="0,0"/>
                <v:stroke color="#000000" joinstyle="round"/>
                <v:imagedata o:title=""/>
                <o:lock v:ext="edit" aspectratio="f"/>
              </v:line>
            </w:pict>
          </mc:Fallback>
        </mc:AlternateContent>
      </w:r>
      <w:r>
        <w:rPr>
          <w:rFonts w:hint="eastAsia" w:ascii="仿宋_GB2312" w:hAnsi="仿宋_GB2312" w:eastAsia="仿宋_GB2312"/>
          <w:spacing w:val="0"/>
          <w:sz w:val="32"/>
          <w:szCs w:val="21"/>
        </w:rPr>
        <w:t>校对：疾控</w:t>
      </w:r>
      <w:r>
        <w:rPr>
          <w:rFonts w:hint="eastAsia" w:ascii="仿宋_GB2312" w:hAnsi="仿宋_GB2312" w:eastAsia="仿宋_GB2312"/>
          <w:spacing w:val="0"/>
          <w:sz w:val="32"/>
          <w:szCs w:val="21"/>
          <w:lang w:eastAsia="zh-CN"/>
        </w:rPr>
        <w:t>妇幼</w:t>
      </w:r>
      <w:r>
        <w:rPr>
          <w:rFonts w:hint="eastAsia" w:ascii="仿宋_GB2312" w:hAnsi="仿宋_GB2312" w:eastAsia="仿宋_GB2312"/>
          <w:spacing w:val="0"/>
          <w:sz w:val="32"/>
          <w:szCs w:val="21"/>
        </w:rPr>
        <w:t>股</w:t>
      </w:r>
      <w:r>
        <w:rPr>
          <w:rFonts w:hint="eastAsia" w:ascii="仿宋_GB2312" w:hAnsi="仿宋_GB2312" w:eastAsia="仿宋_GB2312"/>
          <w:spacing w:val="0"/>
          <w:sz w:val="32"/>
          <w:szCs w:val="21"/>
          <w:lang w:val="en-US" w:eastAsia="zh-CN"/>
        </w:rPr>
        <w:t xml:space="preserve"> </w:t>
      </w:r>
      <w:r>
        <w:rPr>
          <w:rFonts w:hint="eastAsia" w:ascii="仿宋_GB2312" w:hAnsi="仿宋_GB2312" w:eastAsia="仿宋_GB2312"/>
          <w:spacing w:val="0"/>
          <w:sz w:val="32"/>
          <w:szCs w:val="21"/>
        </w:rPr>
        <w:t xml:space="preserve">                   （共印</w:t>
      </w:r>
      <w:r>
        <w:rPr>
          <w:rFonts w:hint="eastAsia" w:ascii="仿宋_GB2312" w:hAnsi="仿宋_GB2312" w:eastAsia="仿宋_GB2312"/>
          <w:spacing w:val="0"/>
          <w:sz w:val="32"/>
          <w:szCs w:val="21"/>
          <w:lang w:val="en-US" w:eastAsia="zh-CN"/>
        </w:rPr>
        <w:t>16</w:t>
      </w:r>
      <w:r>
        <w:rPr>
          <w:rFonts w:hint="eastAsia" w:ascii="仿宋_GB2312" w:hAnsi="仿宋_GB2312" w:eastAsia="仿宋_GB2312"/>
          <w:spacing w:val="0"/>
          <w:sz w:val="32"/>
          <w:szCs w:val="21"/>
        </w:rPr>
        <w:t>份）</w:t>
      </w:r>
    </w:p>
    <w:sectPr>
      <w:headerReference r:id="rId3" w:type="default"/>
      <w:footerReference r:id="rId4" w:type="default"/>
      <w:footerReference r:id="rId5" w:type="even"/>
      <w:pgSz w:w="11906" w:h="16838"/>
      <w:pgMar w:top="1440" w:right="1080" w:bottom="1440" w:left="1080"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80F3C52" w:usb2="00000016" w:usb3="00000000" w:csb0="0004001F" w:csb1="00000000"/>
  </w:font>
  <w:font w:name="MS Gothic">
    <w:panose1 w:val="020B0609070205080204"/>
    <w:charset w:val="80"/>
    <w:family w:val="modern"/>
    <w:pitch w:val="default"/>
    <w:sig w:usb0="E00002FF" w:usb1="6AC7FDFB" w:usb2="00000012" w:usb3="00000000" w:csb0="4002009F" w:csb1="DFD70000"/>
  </w:font>
  <w:font w:name="方正小标宋简体">
    <w:altName w:val="微软雅黑"/>
    <w:panose1 w:val="03000509000000000000"/>
    <w:charset w:val="86"/>
    <w:family w:val="script"/>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楷体_GB2312">
    <w:altName w:val="楷体"/>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right="280"/>
      <w:jc w:val="right"/>
      <w:rPr>
        <w:rFonts w:ascii="仿宋_GB2312" w:eastAsia="仿宋_GB2312"/>
        <w:sz w:val="28"/>
        <w:szCs w:val="28"/>
      </w:rPr>
    </w:pPr>
    <w:r>
      <w:rPr>
        <w:rFonts w:hint="eastAsia" w:ascii="仿宋_GB2312" w:eastAsia="仿宋_GB2312"/>
        <w:kern w:val="0"/>
        <w:sz w:val="28"/>
        <w:szCs w:val="28"/>
      </w:rPr>
      <w:t xml:space="preserve">- </w:t>
    </w:r>
    <w:r>
      <w:rPr>
        <w:rFonts w:hint="eastAsia" w:ascii="仿宋_GB2312" w:eastAsia="仿宋_GB2312"/>
        <w:kern w:val="0"/>
        <w:sz w:val="28"/>
        <w:szCs w:val="28"/>
      </w:rPr>
      <w:fldChar w:fldCharType="begin"/>
    </w:r>
    <w:r>
      <w:rPr>
        <w:rFonts w:hint="eastAsia" w:ascii="仿宋_GB2312" w:eastAsia="仿宋_GB2312"/>
        <w:kern w:val="0"/>
        <w:sz w:val="28"/>
        <w:szCs w:val="28"/>
      </w:rPr>
      <w:instrText xml:space="preserve"> PAGE </w:instrText>
    </w:r>
    <w:r>
      <w:rPr>
        <w:rFonts w:hint="eastAsia" w:ascii="仿宋_GB2312" w:eastAsia="仿宋_GB2312"/>
        <w:kern w:val="0"/>
        <w:sz w:val="28"/>
        <w:szCs w:val="28"/>
      </w:rPr>
      <w:fldChar w:fldCharType="separate"/>
    </w:r>
    <w:r>
      <w:rPr>
        <w:rFonts w:ascii="仿宋_GB2312" w:eastAsia="仿宋_GB2312"/>
        <w:kern w:val="0"/>
        <w:sz w:val="28"/>
        <w:szCs w:val="28"/>
      </w:rPr>
      <w:t>10</w:t>
    </w:r>
    <w:r>
      <w:rPr>
        <w:rFonts w:hint="eastAsia" w:ascii="仿宋_GB2312" w:eastAsia="仿宋_GB2312"/>
        <w:kern w:val="0"/>
        <w:sz w:val="28"/>
        <w:szCs w:val="28"/>
      </w:rPr>
      <w:fldChar w:fldCharType="end"/>
    </w:r>
    <w:r>
      <w:rPr>
        <w:rFonts w:hint="eastAsia" w:ascii="仿宋_GB2312" w:eastAsia="仿宋_GB2312"/>
        <w:kern w:val="0"/>
        <w:sz w:val="28"/>
        <w:szCs w:val="28"/>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280" w:firstLineChars="100"/>
    </w:pPr>
    <w:r>
      <w:rPr>
        <w:rFonts w:hint="eastAsia" w:ascii="仿宋_GB2312" w:eastAsia="仿宋_GB2312"/>
        <w:kern w:val="0"/>
        <w:sz w:val="28"/>
        <w:szCs w:val="28"/>
      </w:rPr>
      <w:t xml:space="preserve">- </w:t>
    </w:r>
    <w:r>
      <w:rPr>
        <w:rFonts w:hint="eastAsia" w:ascii="仿宋_GB2312" w:eastAsia="仿宋_GB2312"/>
        <w:kern w:val="0"/>
        <w:sz w:val="28"/>
        <w:szCs w:val="28"/>
      </w:rPr>
      <w:fldChar w:fldCharType="begin"/>
    </w:r>
    <w:r>
      <w:rPr>
        <w:rFonts w:hint="eastAsia" w:ascii="仿宋_GB2312" w:eastAsia="仿宋_GB2312"/>
        <w:kern w:val="0"/>
        <w:sz w:val="28"/>
        <w:szCs w:val="28"/>
      </w:rPr>
      <w:instrText xml:space="preserve"> PAGE </w:instrText>
    </w:r>
    <w:r>
      <w:rPr>
        <w:rFonts w:hint="eastAsia" w:ascii="仿宋_GB2312" w:eastAsia="仿宋_GB2312"/>
        <w:kern w:val="0"/>
        <w:sz w:val="28"/>
        <w:szCs w:val="28"/>
      </w:rPr>
      <w:fldChar w:fldCharType="separate"/>
    </w:r>
    <w:r>
      <w:rPr>
        <w:rFonts w:ascii="仿宋_GB2312" w:eastAsia="仿宋_GB2312"/>
        <w:kern w:val="0"/>
        <w:sz w:val="28"/>
        <w:szCs w:val="28"/>
      </w:rPr>
      <w:t>12</w:t>
    </w:r>
    <w:r>
      <w:rPr>
        <w:rFonts w:hint="eastAsia" w:ascii="仿宋_GB2312" w:eastAsia="仿宋_GB2312"/>
        <w:kern w:val="0"/>
        <w:sz w:val="28"/>
        <w:szCs w:val="28"/>
      </w:rPr>
      <w:fldChar w:fldCharType="end"/>
    </w:r>
    <w:r>
      <w:rPr>
        <w:rFonts w:hint="eastAsia" w:ascii="仿宋_GB2312" w:eastAsia="仿宋_GB2312"/>
        <w:kern w:val="0"/>
        <w:sz w:val="28"/>
        <w:szCs w:val="28"/>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28DC84"/>
    <w:multiLevelType w:val="singleLevel"/>
    <w:tmpl w:val="1628DC84"/>
    <w:lvl w:ilvl="0" w:tentative="0">
      <w:start w:val="4"/>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1D50"/>
    <w:rsid w:val="0015119D"/>
    <w:rsid w:val="00161628"/>
    <w:rsid w:val="001A5F5A"/>
    <w:rsid w:val="002167DB"/>
    <w:rsid w:val="00251BD6"/>
    <w:rsid w:val="002B3D45"/>
    <w:rsid w:val="002F55A3"/>
    <w:rsid w:val="0032365F"/>
    <w:rsid w:val="00323B43"/>
    <w:rsid w:val="003D37D8"/>
    <w:rsid w:val="00426133"/>
    <w:rsid w:val="004358AB"/>
    <w:rsid w:val="004B655E"/>
    <w:rsid w:val="006643D3"/>
    <w:rsid w:val="00670154"/>
    <w:rsid w:val="00680509"/>
    <w:rsid w:val="00722D02"/>
    <w:rsid w:val="00775522"/>
    <w:rsid w:val="007B12AC"/>
    <w:rsid w:val="007B4090"/>
    <w:rsid w:val="007C416D"/>
    <w:rsid w:val="008B7726"/>
    <w:rsid w:val="00995843"/>
    <w:rsid w:val="00A352D3"/>
    <w:rsid w:val="00A47E08"/>
    <w:rsid w:val="00AF7AFC"/>
    <w:rsid w:val="00B66622"/>
    <w:rsid w:val="00C00F83"/>
    <w:rsid w:val="00C23F5A"/>
    <w:rsid w:val="00C56121"/>
    <w:rsid w:val="00C7217C"/>
    <w:rsid w:val="00C91EAE"/>
    <w:rsid w:val="00CD476B"/>
    <w:rsid w:val="00CE1D07"/>
    <w:rsid w:val="00D31D50"/>
    <w:rsid w:val="00E07C34"/>
    <w:rsid w:val="00E11839"/>
    <w:rsid w:val="00E64101"/>
    <w:rsid w:val="00E744CE"/>
    <w:rsid w:val="00EA647B"/>
    <w:rsid w:val="00EB0C02"/>
    <w:rsid w:val="00ED20FE"/>
    <w:rsid w:val="00F66C11"/>
    <w:rsid w:val="00FF0B9D"/>
    <w:rsid w:val="035C5188"/>
    <w:rsid w:val="051115FB"/>
    <w:rsid w:val="0A2F5D25"/>
    <w:rsid w:val="0C424DB1"/>
    <w:rsid w:val="0CB1579B"/>
    <w:rsid w:val="0DCA0998"/>
    <w:rsid w:val="0DE13E8C"/>
    <w:rsid w:val="0EB3074B"/>
    <w:rsid w:val="0EEA5E87"/>
    <w:rsid w:val="12FF5B90"/>
    <w:rsid w:val="14D531C9"/>
    <w:rsid w:val="151D4B18"/>
    <w:rsid w:val="15E1322E"/>
    <w:rsid w:val="172E5F79"/>
    <w:rsid w:val="17AB50F8"/>
    <w:rsid w:val="181B3ED2"/>
    <w:rsid w:val="18C23F45"/>
    <w:rsid w:val="19D56540"/>
    <w:rsid w:val="1AC64E1A"/>
    <w:rsid w:val="1C533F79"/>
    <w:rsid w:val="1ED41000"/>
    <w:rsid w:val="1F006ED9"/>
    <w:rsid w:val="1F1C0B5F"/>
    <w:rsid w:val="1F976940"/>
    <w:rsid w:val="201F2FAC"/>
    <w:rsid w:val="20A530A1"/>
    <w:rsid w:val="21A655C5"/>
    <w:rsid w:val="2323074D"/>
    <w:rsid w:val="2361693C"/>
    <w:rsid w:val="2552227B"/>
    <w:rsid w:val="284A2BE2"/>
    <w:rsid w:val="2A0E1492"/>
    <w:rsid w:val="2C415264"/>
    <w:rsid w:val="2C6B7510"/>
    <w:rsid w:val="304D1769"/>
    <w:rsid w:val="30780CD1"/>
    <w:rsid w:val="31327BE1"/>
    <w:rsid w:val="31600847"/>
    <w:rsid w:val="31C21B92"/>
    <w:rsid w:val="3213616C"/>
    <w:rsid w:val="357E7188"/>
    <w:rsid w:val="38144EDE"/>
    <w:rsid w:val="39560617"/>
    <w:rsid w:val="39735077"/>
    <w:rsid w:val="3C9E18B9"/>
    <w:rsid w:val="3F1E6CD4"/>
    <w:rsid w:val="41C60A4E"/>
    <w:rsid w:val="43874443"/>
    <w:rsid w:val="45647AF5"/>
    <w:rsid w:val="462467F1"/>
    <w:rsid w:val="46D23895"/>
    <w:rsid w:val="470B6E87"/>
    <w:rsid w:val="4A554AA9"/>
    <w:rsid w:val="4D3C5EC9"/>
    <w:rsid w:val="50860772"/>
    <w:rsid w:val="51A34CD1"/>
    <w:rsid w:val="52D3797E"/>
    <w:rsid w:val="539E3BFC"/>
    <w:rsid w:val="56711C26"/>
    <w:rsid w:val="57313ACE"/>
    <w:rsid w:val="581B7D2B"/>
    <w:rsid w:val="59162B6A"/>
    <w:rsid w:val="59672AE6"/>
    <w:rsid w:val="5ADA313C"/>
    <w:rsid w:val="5ECB6639"/>
    <w:rsid w:val="5ED83C0F"/>
    <w:rsid w:val="609D1E4E"/>
    <w:rsid w:val="662B6989"/>
    <w:rsid w:val="6AAE0BB6"/>
    <w:rsid w:val="6D6918CA"/>
    <w:rsid w:val="6E5118B5"/>
    <w:rsid w:val="70E76A15"/>
    <w:rsid w:val="70F0674B"/>
    <w:rsid w:val="746A4DDF"/>
    <w:rsid w:val="74D55133"/>
    <w:rsid w:val="74EF4234"/>
    <w:rsid w:val="752B7264"/>
    <w:rsid w:val="75B60D12"/>
    <w:rsid w:val="77972F6C"/>
    <w:rsid w:val="78FB0667"/>
    <w:rsid w:val="797F5895"/>
    <w:rsid w:val="7EC40B6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sz w:val="22"/>
      <w:szCs w:val="22"/>
      <w:lang w:val="en-US" w:eastAsia="zh-CN" w:bidi="ar-SA"/>
    </w:rPr>
  </w:style>
  <w:style w:type="character" w:default="1" w:styleId="4">
    <w:name w:val="Default Paragraph Font"/>
    <w:semiHidden/>
    <w:unhideWhenUsed/>
    <w:qFormat/>
    <w:uiPriority w:val="1"/>
  </w:style>
  <w:style w:type="table" w:default="1" w:styleId="5">
    <w:name w:val="Normal Table"/>
    <w:semiHidden/>
    <w:unhideWhenUsed/>
    <w:qFormat/>
    <w:uiPriority w:val="99"/>
    <w:tblPr>
      <w:tblLayout w:type="fixed"/>
      <w:tblCellMar>
        <w:top w:w="0" w:type="dxa"/>
        <w:left w:w="108" w:type="dxa"/>
        <w:bottom w:w="0" w:type="dxa"/>
        <w:right w:w="108" w:type="dxa"/>
      </w:tblCellMar>
    </w:tblPr>
  </w:style>
  <w:style w:type="paragraph" w:styleId="2">
    <w:name w:val="footer"/>
    <w:basedOn w:val="1"/>
    <w:link w:val="11"/>
    <w:semiHidden/>
    <w:unhideWhenUsed/>
    <w:qFormat/>
    <w:uiPriority w:val="99"/>
    <w:pPr>
      <w:tabs>
        <w:tab w:val="center" w:pos="4153"/>
        <w:tab w:val="right" w:pos="8306"/>
      </w:tabs>
    </w:pPr>
    <w:rPr>
      <w:sz w:val="18"/>
      <w:szCs w:val="18"/>
    </w:rPr>
  </w:style>
  <w:style w:type="paragraph" w:styleId="3">
    <w:name w:val="header"/>
    <w:basedOn w:val="1"/>
    <w:link w:val="10"/>
    <w:semiHidden/>
    <w:unhideWhenUsed/>
    <w:qFormat/>
    <w:uiPriority w:val="99"/>
    <w:pPr>
      <w:pBdr>
        <w:bottom w:val="single" w:color="auto" w:sz="6" w:space="1"/>
      </w:pBdr>
      <w:tabs>
        <w:tab w:val="center" w:pos="4153"/>
        <w:tab w:val="right" w:pos="8306"/>
      </w:tabs>
      <w:jc w:val="center"/>
    </w:pPr>
    <w:rPr>
      <w:sz w:val="18"/>
      <w:szCs w:val="18"/>
    </w:rPr>
  </w:style>
  <w:style w:type="paragraph" w:customStyle="1" w:styleId="6">
    <w:name w:val="页眉 New"/>
    <w:basedOn w:val="1"/>
    <w:qFormat/>
    <w:uiPriority w:val="0"/>
    <w:pPr>
      <w:widowControl w:val="0"/>
      <w:pBdr>
        <w:top w:val="none" w:color="auto" w:sz="0" w:space="1"/>
        <w:left w:val="none" w:color="auto" w:sz="0" w:space="4"/>
        <w:bottom w:val="none" w:color="auto" w:sz="0" w:space="1"/>
        <w:right w:val="none" w:color="auto" w:sz="0" w:space="4"/>
      </w:pBdr>
      <w:tabs>
        <w:tab w:val="center" w:pos="4153"/>
        <w:tab w:val="right" w:pos="8306"/>
      </w:tabs>
      <w:adjustRightInd/>
      <w:spacing w:after="0"/>
      <w:jc w:val="both"/>
    </w:pPr>
    <w:rPr>
      <w:rFonts w:ascii="Times New Roman" w:hAnsi="Times New Roman" w:eastAsia="宋体" w:cs="Times New Roman"/>
      <w:kern w:val="2"/>
      <w:sz w:val="18"/>
      <w:szCs w:val="20"/>
    </w:rPr>
  </w:style>
  <w:style w:type="paragraph" w:customStyle="1" w:styleId="7">
    <w:name w:val="页脚 New"/>
    <w:basedOn w:val="1"/>
    <w:qFormat/>
    <w:uiPriority w:val="0"/>
    <w:pPr>
      <w:widowControl w:val="0"/>
      <w:tabs>
        <w:tab w:val="center" w:pos="4153"/>
        <w:tab w:val="right" w:pos="8306"/>
      </w:tabs>
      <w:adjustRightInd/>
      <w:spacing w:after="0"/>
    </w:pPr>
    <w:rPr>
      <w:rFonts w:ascii="Calibri" w:hAnsi="Calibri" w:eastAsia="宋体" w:cs="Times New Roman"/>
      <w:kern w:val="2"/>
      <w:sz w:val="18"/>
      <w:szCs w:val="20"/>
    </w:rPr>
  </w:style>
  <w:style w:type="paragraph" w:customStyle="1" w:styleId="8">
    <w:name w:val="正文 New"/>
    <w:qFormat/>
    <w:uiPriority w:val="0"/>
    <w:pPr>
      <w:widowControl w:val="0"/>
      <w:jc w:val="both"/>
    </w:pPr>
    <w:rPr>
      <w:rFonts w:ascii="Times New Roman" w:hAnsi="Times New Roman" w:eastAsia="MS Gothic" w:cs="MS Gothic"/>
      <w:kern w:val="2"/>
      <w:sz w:val="21"/>
      <w:szCs w:val="21"/>
      <w:lang w:val="en-US" w:eastAsia="zh-CN" w:bidi="ar-SA"/>
    </w:rPr>
  </w:style>
  <w:style w:type="paragraph" w:customStyle="1" w:styleId="9">
    <w:name w:val="正文 New New New"/>
    <w:qFormat/>
    <w:uiPriority w:val="0"/>
    <w:pPr>
      <w:widowControl w:val="0"/>
      <w:jc w:val="both"/>
    </w:pPr>
    <w:rPr>
      <w:rFonts w:ascii="Times New Roman" w:hAnsi="Times New Roman" w:eastAsia="MS Gothic" w:cs="MS Gothic"/>
      <w:kern w:val="2"/>
      <w:sz w:val="21"/>
      <w:szCs w:val="21"/>
      <w:lang w:val="en-US" w:eastAsia="zh-CN" w:bidi="ar-SA"/>
    </w:rPr>
  </w:style>
  <w:style w:type="character" w:customStyle="1" w:styleId="10">
    <w:name w:val="页眉 Char"/>
    <w:basedOn w:val="4"/>
    <w:link w:val="3"/>
    <w:semiHidden/>
    <w:qFormat/>
    <w:uiPriority w:val="99"/>
    <w:rPr>
      <w:rFonts w:ascii="Tahoma" w:hAnsi="Tahoma" w:eastAsia="微软雅黑" w:cstheme="minorBidi"/>
      <w:sz w:val="18"/>
      <w:szCs w:val="18"/>
    </w:rPr>
  </w:style>
  <w:style w:type="character" w:customStyle="1" w:styleId="11">
    <w:name w:val="页脚 Char"/>
    <w:basedOn w:val="4"/>
    <w:link w:val="2"/>
    <w:semiHidden/>
    <w:qFormat/>
    <w:uiPriority w:val="99"/>
    <w:rPr>
      <w:rFonts w:ascii="Tahoma" w:hAnsi="Tahoma" w:eastAsia="微软雅黑" w:cstheme="minorBidi"/>
      <w:sz w:val="18"/>
      <w:szCs w:val="18"/>
    </w:rPr>
  </w:style>
  <w:style w:type="paragraph" w:customStyle="1" w:styleId="12">
    <w:name w:val="正文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CB48AE-2064-4404-8C16-7201A431FC64}">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Pages>
  <Words>640</Words>
  <Characters>3648</Characters>
  <Lines>30</Lines>
  <Paragraphs>8</Paragraphs>
  <TotalTime>2</TotalTime>
  <ScaleCrop>false</ScaleCrop>
  <LinksUpToDate>false</LinksUpToDate>
  <CharactersWithSpaces>4280</CharactersWithSpaces>
  <Application>WPS Office_10.1.0.7469_F1E327BC-269C-435d-A152-05C5408002CA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2008-09-11T17:20:00Z</dcterms:created>
  <dc:creator>Administrator</dc:creator>
  <cp:lastModifiedBy>木易</cp:lastModifiedBy>
  <cp:lastPrinted>2018-08-29T02:33:00Z</cp:lastPrinted>
  <dcterms:modified xsi:type="dcterms:W3CDTF">2018-08-30T08:44:14Z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