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ascii="黑体" w:hAnsi="黑体" w:eastAsia="黑体" w:cs="黑体"/>
          <w:b/>
          <w:bCs/>
          <w:color w:val="000000"/>
          <w:sz w:val="44"/>
          <w:szCs w:val="44"/>
        </w:rPr>
      </w:pPr>
      <w:r>
        <w:rPr>
          <w:rFonts w:hint="eastAsia" w:ascii="黑体" w:hAnsi="黑体" w:eastAsia="黑体" w:cs="黑体"/>
          <w:b/>
          <w:bCs/>
          <w:color w:val="000000"/>
          <w:sz w:val="44"/>
          <w:szCs w:val="44"/>
        </w:rPr>
        <w:t>202</w:t>
      </w:r>
      <w:r>
        <w:rPr>
          <w:rFonts w:hint="eastAsia" w:ascii="黑体" w:hAnsi="黑体" w:eastAsia="黑体" w:cs="黑体"/>
          <w:b/>
          <w:bCs/>
          <w:color w:val="000000"/>
          <w:sz w:val="44"/>
          <w:szCs w:val="44"/>
          <w:lang w:val="en-US" w:eastAsia="zh-CN"/>
        </w:rPr>
        <w:t>2</w:t>
      </w:r>
      <w:r>
        <w:rPr>
          <w:rFonts w:hint="eastAsia" w:ascii="黑体" w:hAnsi="黑体" w:eastAsia="黑体" w:cs="黑体"/>
          <w:b/>
          <w:bCs/>
          <w:color w:val="000000"/>
          <w:sz w:val="44"/>
          <w:szCs w:val="44"/>
        </w:rPr>
        <w:t>年</w:t>
      </w:r>
      <w:r>
        <w:rPr>
          <w:rFonts w:hint="eastAsia" w:ascii="黑体" w:hAnsi="黑体" w:eastAsia="黑体" w:cs="黑体"/>
          <w:b/>
          <w:bCs/>
          <w:color w:val="000000"/>
          <w:sz w:val="44"/>
          <w:szCs w:val="44"/>
          <w:lang w:val="en-US" w:eastAsia="zh-CN"/>
        </w:rPr>
        <w:t>2500</w:t>
      </w:r>
      <w:r>
        <w:rPr>
          <w:rFonts w:hint="eastAsia" w:ascii="黑体" w:hAnsi="黑体" w:eastAsia="黑体" w:cs="黑体"/>
          <w:b/>
          <w:bCs/>
          <w:color w:val="000000"/>
          <w:sz w:val="44"/>
          <w:szCs w:val="44"/>
        </w:rPr>
        <w:t>万元新增债券资金绩效</w:t>
      </w:r>
    </w:p>
    <w:p>
      <w:pPr>
        <w:pStyle w:val="6"/>
        <w:jc w:val="center"/>
        <w:rPr>
          <w:rFonts w:hint="eastAsia" w:ascii="黑体" w:hAnsi="黑体" w:eastAsia="黑体" w:cs="黑体"/>
          <w:b/>
          <w:bCs/>
          <w:color w:val="000000"/>
          <w:sz w:val="44"/>
          <w:szCs w:val="44"/>
          <w:lang w:eastAsia="zh-CN"/>
        </w:rPr>
      </w:pPr>
      <w:r>
        <w:rPr>
          <w:rFonts w:hint="eastAsia" w:ascii="黑体" w:hAnsi="黑体" w:eastAsia="黑体" w:cs="黑体"/>
          <w:b/>
          <w:bCs/>
          <w:color w:val="000000"/>
          <w:sz w:val="44"/>
          <w:szCs w:val="44"/>
        </w:rPr>
        <w:t>自评报告</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eastAsia="zh-CN"/>
        </w:rPr>
      </w:pPr>
    </w:p>
    <w:p>
      <w:pPr>
        <w:spacing w:line="360" w:lineRule="auto"/>
        <w:ind w:firstLine="720" w:firstLineChars="200"/>
        <w:rPr>
          <w:rFonts w:hint="eastAsia" w:ascii="宋体" w:hAnsi="宋体" w:eastAsia="宋体" w:cs="宋体"/>
          <w:sz w:val="36"/>
          <w:szCs w:val="36"/>
        </w:rPr>
      </w:pPr>
      <w:r>
        <w:rPr>
          <w:rFonts w:hint="eastAsia" w:ascii="宋体" w:hAnsi="宋体" w:eastAsia="宋体" w:cs="宋体"/>
          <w:sz w:val="36"/>
          <w:szCs w:val="36"/>
        </w:rPr>
        <w:t>一、项目基本情况及自评结论</w:t>
      </w:r>
    </w:p>
    <w:p>
      <w:pPr>
        <w:spacing w:line="360" w:lineRule="auto"/>
        <w:ind w:firstLine="720" w:firstLineChars="200"/>
        <w:rPr>
          <w:rFonts w:hint="eastAsia" w:ascii="宋体" w:hAnsi="宋体" w:eastAsia="宋体" w:cs="宋体"/>
          <w:sz w:val="36"/>
          <w:szCs w:val="36"/>
        </w:rPr>
      </w:pPr>
      <w:r>
        <w:rPr>
          <w:rFonts w:hint="eastAsia" w:ascii="宋体" w:hAnsi="宋体" w:eastAsia="宋体" w:cs="宋体"/>
          <w:sz w:val="36"/>
          <w:szCs w:val="36"/>
        </w:rPr>
        <w:t>（一）</w:t>
      </w:r>
      <w:r>
        <w:rPr>
          <w:rFonts w:hint="eastAsia" w:ascii="宋体" w:hAnsi="宋体" w:eastAsia="宋体" w:cs="宋体"/>
          <w:sz w:val="36"/>
          <w:szCs w:val="36"/>
          <w:lang w:eastAsia="zh-CN"/>
        </w:rPr>
        <w:t>项目用款单位</w:t>
      </w:r>
      <w:r>
        <w:rPr>
          <w:rFonts w:hint="eastAsia" w:ascii="宋体" w:hAnsi="宋体" w:eastAsia="宋体" w:cs="宋体"/>
          <w:sz w:val="36"/>
          <w:szCs w:val="36"/>
        </w:rPr>
        <w:t>简要情况</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b w:val="0"/>
          <w:bCs w:val="0"/>
          <w:sz w:val="36"/>
          <w:szCs w:val="36"/>
          <w:lang w:val="en-US" w:eastAsia="zh-CN"/>
        </w:rPr>
      </w:pPr>
      <w:r>
        <w:rPr>
          <w:rFonts w:hint="eastAsia" w:ascii="宋体" w:hAnsi="宋体" w:eastAsia="宋体" w:cs="宋体"/>
          <w:sz w:val="36"/>
          <w:szCs w:val="36"/>
          <w:lang w:eastAsia="zh-CN"/>
        </w:rPr>
        <w:t>乳源瑶族自治县人民医院择址新建项目（一期）后续配套工程建设项目是为完善新人民医院一期工程增加投资的建设项目，该项目分别于</w:t>
      </w:r>
      <w:r>
        <w:rPr>
          <w:rFonts w:hint="eastAsia" w:ascii="宋体" w:hAnsi="宋体" w:eastAsia="宋体" w:cs="宋体"/>
          <w:sz w:val="36"/>
          <w:szCs w:val="36"/>
          <w:lang w:val="en-US" w:eastAsia="zh-CN"/>
        </w:rPr>
        <w:t>2021年12月25日县政府会议、2022年1月6月县政府常务会议（十三届政府第1次会议）及县委常委会议（密件）通过，批准投资8583万元，</w:t>
      </w:r>
      <w:r>
        <w:rPr>
          <w:rFonts w:hint="eastAsia" w:ascii="宋体" w:hAnsi="宋体" w:eastAsia="宋体" w:cs="宋体"/>
          <w:b w:val="0"/>
          <w:bCs w:val="0"/>
          <w:sz w:val="36"/>
          <w:szCs w:val="36"/>
          <w:lang w:val="en-US" w:eastAsia="zh-CN"/>
        </w:rPr>
        <w:t>其中包括两个子项目，分别为乳源瑶族自治县人民医院择址新建项目（一期）后续配套项目工程和乳源瑶族自治县人民医院择址新建项目（一期）排洪渠建设项目。</w:t>
      </w:r>
    </w:p>
    <w:p>
      <w:pPr>
        <w:spacing w:line="360" w:lineRule="auto"/>
        <w:ind w:firstLine="720" w:firstLineChars="200"/>
        <w:rPr>
          <w:rFonts w:hint="eastAsia" w:ascii="宋体" w:hAnsi="宋体" w:eastAsia="宋体" w:cs="宋体"/>
          <w:sz w:val="36"/>
          <w:szCs w:val="36"/>
          <w:lang w:val="en-US" w:eastAsia="zh-CN"/>
        </w:rPr>
      </w:pPr>
      <w:r>
        <w:rPr>
          <w:rFonts w:hint="eastAsia" w:ascii="宋体" w:hAnsi="宋体" w:eastAsia="宋体" w:cs="宋体"/>
          <w:sz w:val="36"/>
          <w:szCs w:val="36"/>
        </w:rPr>
        <w:t>（二）项目实施主要内容及实施程序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1、一期后续配套项目工程：项目是为进一步完善新建人民医院基础设施和医疗专业设施，使新建人民医院</w:t>
      </w:r>
      <w:r>
        <w:rPr>
          <w:rFonts w:hint="eastAsia" w:ascii="宋体" w:hAnsi="宋体" w:eastAsia="宋体" w:cs="宋体"/>
          <w:color w:val="000000" w:themeColor="text1"/>
          <w:sz w:val="36"/>
          <w:szCs w:val="36"/>
          <w:lang w:val="en-US" w:eastAsia="zh-CN"/>
          <w14:textFill>
            <w14:solidFill>
              <w14:schemeClr w14:val="tx1"/>
            </w14:solidFill>
          </w14:textFill>
        </w:rPr>
        <w:t>具备县级综合医院应有的基本的医疗服务能力。项目主要建设内容包括救护车库、门楼、绿化、院内道路、室外亮化及门前广场等基础设施建设</w:t>
      </w:r>
      <w:r>
        <w:rPr>
          <w:rFonts w:hint="eastAsia" w:ascii="宋体" w:hAnsi="宋体" w:eastAsia="宋体" w:cs="宋体"/>
          <w:sz w:val="36"/>
          <w:szCs w:val="36"/>
          <w:lang w:val="en-US" w:eastAsia="zh-CN"/>
        </w:rPr>
        <w:t>。同时，对相关的医疗专业进行完善。项目投资为：8109万元。</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2、排洪渠建设项目：项目是为解决新建人民医院在建设过程中发现因西南侧山体陡峭，汛期突发暴雨形成短期的山洪会涌入地下室，同时影响首层建筑。为此，经县委县政府同意沿西南侧建设一条长约1100米的排洪渠，项目计划投资约474万元。</w:t>
      </w:r>
    </w:p>
    <w:p>
      <w:pPr>
        <w:adjustRightInd w:val="0"/>
        <w:spacing w:line="360" w:lineRule="auto"/>
        <w:ind w:firstLine="540" w:firstLineChars="150"/>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（三）综述项目自评等级和分数，并对照佐证材料逐一分析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我院圆满完成项目预期目标，自评97分，等级为“优”。</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为提升县级医院综合能力，把提高县域内住院率作为改革突破口，全力推动医疗卫生工作，整合优化优质医疗卫生资源，提高县域的医疗整体水平和运行效率，县人民医院实施异地搬迁新建项目，全面提高人民医院的医疗服务能力，解决人民医院业务用房不足，为乳源人民提供更舒适的就医环境。</w:t>
      </w:r>
    </w:p>
    <w:p>
      <w:pPr>
        <w:ind w:firstLine="540" w:firstLineChars="150"/>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二、绩效表现</w:t>
      </w:r>
    </w:p>
    <w:p>
      <w:pPr>
        <w:spacing w:line="360" w:lineRule="auto"/>
        <w:ind w:firstLine="720" w:firstLineChars="200"/>
        <w:rPr>
          <w:rFonts w:hint="eastAsia" w:ascii="宋体" w:hAnsi="宋体" w:eastAsia="宋体" w:cs="宋体"/>
          <w:sz w:val="36"/>
          <w:szCs w:val="36"/>
        </w:rPr>
      </w:pPr>
      <w:r>
        <w:rPr>
          <w:rFonts w:hint="eastAsia" w:ascii="宋体" w:hAnsi="宋体" w:eastAsia="宋体" w:cs="宋体"/>
          <w:sz w:val="36"/>
          <w:szCs w:val="36"/>
        </w:rPr>
        <w:t>（一）资金使用绩效</w:t>
      </w:r>
    </w:p>
    <w:p>
      <w:pPr>
        <w:ind w:firstLine="720" w:firstLineChars="200"/>
        <w:rPr>
          <w:rFonts w:hint="eastAsia" w:ascii="宋体" w:hAnsi="宋体" w:eastAsia="宋体" w:cs="宋体"/>
          <w:sz w:val="36"/>
          <w:szCs w:val="36"/>
        </w:rPr>
      </w:pPr>
      <w:r>
        <w:rPr>
          <w:rFonts w:hint="eastAsia" w:ascii="宋体" w:hAnsi="宋体" w:eastAsia="宋体" w:cs="宋体"/>
          <w:sz w:val="36"/>
          <w:szCs w:val="36"/>
        </w:rPr>
        <w:t>1、项目资金实际总投入和支出情况</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资金投入及到位情况：我院2022年8月和9月财政共拨2500万元，资金到位率100％。</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资金使用情况：截止2022.12月实际已支付2500万元，用于购买设备、行政办公楼安装工程进度款、排洪渠建设项目造价咨询款等，资金支出率100％。</w:t>
      </w:r>
    </w:p>
    <w:p>
      <w:pPr>
        <w:ind w:firstLine="720" w:firstLineChars="200"/>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2、</w:t>
      </w:r>
      <w:r>
        <w:rPr>
          <w:rFonts w:hint="eastAsia" w:ascii="宋体" w:hAnsi="宋体" w:eastAsia="宋体" w:cs="宋体"/>
          <w:sz w:val="36"/>
          <w:szCs w:val="36"/>
        </w:rPr>
        <w:t>项目的绩效目标完成情况</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通过择址迁建的方式，项目经费投入使用后，明显提升了医院综合能力、诊疗服务量、县域内就诊率，基本满足县域内瑶汉族人民的就医需求，实现县域群众大病不出县，90%病人留县治疗的目标。</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2022年总诊疗人次达到30.28万人次，出院人次达到1.5万人，2022年医疗收入同比增长10.7%。</w:t>
      </w:r>
    </w:p>
    <w:p>
      <w:pPr>
        <w:ind w:firstLine="720" w:firstLineChars="200"/>
        <w:rPr>
          <w:rFonts w:hint="eastAsia" w:ascii="宋体" w:hAnsi="宋体" w:eastAsia="宋体" w:cs="宋体"/>
          <w:sz w:val="36"/>
          <w:szCs w:val="36"/>
        </w:rPr>
      </w:pPr>
      <w:r>
        <w:rPr>
          <w:rFonts w:hint="eastAsia" w:ascii="宋体" w:hAnsi="宋体" w:eastAsia="宋体" w:cs="宋体"/>
          <w:sz w:val="36"/>
          <w:szCs w:val="36"/>
        </w:rPr>
        <w:t>3、项目资金使用效益、对环境、经济、社会的可持续影响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随着择址新建乳源县人民医院的投入使用，通过引入先进设备和优秀人才并强化现代化科学管理，将使人民医院的医疗能力和医疗水平向前大步迈进，将为该县实现卫生创强和按医改要求90%治病不出县的目标创造重要条件。</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因此，本项目有较好的社会效益，主要表现如下：第一、项目实施有利于加快乳源县卫生体系的建设；第二、项目的建设有利于改善乳源县医疗保健条件，提高居民健康水平和身体素质；第三、完善县城医疗卫生布局，推动西区的建设和发展，从而推动全县医疗卫生事业的进步和发展。</w:t>
      </w:r>
    </w:p>
    <w:p>
      <w:pPr>
        <w:ind w:firstLine="540" w:firstLineChars="150"/>
        <w:rPr>
          <w:rFonts w:hint="eastAsia" w:ascii="宋体" w:hAnsi="宋体" w:eastAsia="宋体" w:cs="宋体"/>
          <w:color w:val="000000" w:themeColor="text1"/>
          <w:sz w:val="36"/>
          <w:szCs w:val="36"/>
          <w:highlight w:val="none"/>
          <w:lang w:val="en-US" w:eastAsia="zh-CN"/>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继续健全管理机制，提高</w:t>
      </w:r>
      <w:bookmarkStart w:id="0" w:name="_GoBack"/>
      <w:bookmarkEnd w:id="0"/>
      <w:r>
        <w:rPr>
          <w:rFonts w:hint="eastAsia" w:ascii="宋体" w:hAnsi="宋体" w:eastAsia="宋体" w:cs="宋体"/>
          <w:sz w:val="36"/>
          <w:szCs w:val="36"/>
          <w:lang w:val="en-US" w:eastAsia="zh-CN"/>
        </w:rPr>
        <w:t>资金使用效益，实现专款专用。正视管理中存在的不足，提高对专项资金的管理，充分发挥专项资金的作用。</w:t>
      </w:r>
    </w:p>
    <w:p>
      <w:pPr>
        <w:ind w:firstLine="4320" w:firstLineChars="1200"/>
        <w:rPr>
          <w:rFonts w:hint="eastAsia" w:ascii="宋体" w:hAnsi="宋体" w:eastAsia="宋体" w:cs="宋体"/>
          <w:color w:val="000000" w:themeColor="text1"/>
          <w:sz w:val="36"/>
          <w:szCs w:val="36"/>
          <w:highlight w:val="none"/>
          <w14:textFill>
            <w14:solidFill>
              <w14:schemeClr w14:val="tx1"/>
            </w14:solidFill>
          </w14:textFill>
        </w:rPr>
      </w:pPr>
    </w:p>
    <w:p>
      <w:pPr>
        <w:ind w:firstLine="4320" w:firstLineChars="1200"/>
        <w:rPr>
          <w:rFonts w:hint="eastAsia" w:ascii="宋体" w:hAnsi="宋体" w:eastAsia="宋体" w:cs="宋体"/>
          <w:color w:val="000000" w:themeColor="text1"/>
          <w:sz w:val="36"/>
          <w:szCs w:val="36"/>
          <w:highlight w:val="none"/>
          <w14:textFill>
            <w14:solidFill>
              <w14:schemeClr w14:val="tx1"/>
            </w14:solidFill>
          </w14:textFill>
        </w:rPr>
      </w:pPr>
    </w:p>
    <w:p>
      <w:pPr>
        <w:ind w:firstLine="4320" w:firstLineChars="1200"/>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乳源瑶族自治县人民医院</w:t>
      </w:r>
    </w:p>
    <w:p>
      <w:pPr>
        <w:ind w:firstLine="5040" w:firstLineChars="1400"/>
        <w:rPr>
          <w:rFonts w:hint="eastAsia" w:ascii="宋体" w:hAnsi="宋体" w:eastAsia="宋体" w:cs="宋体"/>
          <w:sz w:val="36"/>
          <w:szCs w:val="36"/>
          <w:lang w:val="en-US" w:eastAsia="zh-CN"/>
        </w:rPr>
      </w:pPr>
      <w:r>
        <w:rPr>
          <w:rFonts w:hint="eastAsia" w:ascii="宋体" w:hAnsi="宋体" w:eastAsia="宋体" w:cs="宋体"/>
          <w:color w:val="000000" w:themeColor="text1"/>
          <w:sz w:val="36"/>
          <w:szCs w:val="36"/>
          <w:highlight w:val="none"/>
          <w14:textFill>
            <w14:solidFill>
              <w14:schemeClr w14:val="tx1"/>
            </w14:solidFill>
          </w14:textFill>
        </w:rPr>
        <w:t>202</w:t>
      </w:r>
      <w:r>
        <w:rPr>
          <w:rFonts w:hint="eastAsia" w:ascii="宋体" w:hAnsi="宋体" w:eastAsia="宋体" w:cs="宋体"/>
          <w:color w:val="000000" w:themeColor="text1"/>
          <w:sz w:val="36"/>
          <w:szCs w:val="36"/>
          <w:highlight w:val="none"/>
          <w:lang w:val="en-US" w:eastAsia="zh-CN"/>
          <w14:textFill>
            <w14:solidFill>
              <w14:schemeClr w14:val="tx1"/>
            </w14:solidFill>
          </w14:textFill>
        </w:rPr>
        <w:t>3</w:t>
      </w:r>
      <w:r>
        <w:rPr>
          <w:rFonts w:hint="eastAsia" w:ascii="宋体" w:hAnsi="宋体" w:eastAsia="宋体" w:cs="宋体"/>
          <w:color w:val="000000" w:themeColor="text1"/>
          <w:sz w:val="36"/>
          <w:szCs w:val="36"/>
          <w:highlight w:val="none"/>
          <w14:textFill>
            <w14:solidFill>
              <w14:schemeClr w14:val="tx1"/>
            </w14:solidFill>
          </w14:textFill>
        </w:rPr>
        <w:t>年</w:t>
      </w:r>
      <w:r>
        <w:rPr>
          <w:rFonts w:hint="eastAsia" w:ascii="宋体" w:hAnsi="宋体" w:eastAsia="宋体" w:cs="宋体"/>
          <w:color w:val="000000" w:themeColor="text1"/>
          <w:sz w:val="36"/>
          <w:szCs w:val="36"/>
          <w:highlight w:val="none"/>
          <w:lang w:val="en-US" w:eastAsia="zh-CN"/>
          <w14:textFill>
            <w14:solidFill>
              <w14:schemeClr w14:val="tx1"/>
            </w14:solidFill>
          </w14:textFill>
        </w:rPr>
        <w:t>5</w:t>
      </w:r>
      <w:r>
        <w:rPr>
          <w:rFonts w:hint="eastAsia" w:ascii="宋体" w:hAnsi="宋体" w:eastAsia="宋体" w:cs="宋体"/>
          <w:color w:val="000000" w:themeColor="text1"/>
          <w:sz w:val="36"/>
          <w:szCs w:val="36"/>
          <w:highlight w:val="none"/>
          <w14:textFill>
            <w14:solidFill>
              <w14:schemeClr w14:val="tx1"/>
            </w14:solidFill>
          </w14:textFill>
        </w:rPr>
        <w:t>月</w:t>
      </w:r>
      <w:r>
        <w:rPr>
          <w:rFonts w:hint="eastAsia" w:ascii="宋体" w:hAnsi="宋体" w:eastAsia="宋体" w:cs="宋体"/>
          <w:color w:val="000000" w:themeColor="text1"/>
          <w:sz w:val="36"/>
          <w:szCs w:val="36"/>
          <w:highlight w:val="none"/>
          <w:lang w:val="en-US" w:eastAsia="zh-CN"/>
          <w14:textFill>
            <w14:solidFill>
              <w14:schemeClr w14:val="tx1"/>
            </w14:solidFill>
          </w14:textFill>
        </w:rPr>
        <w:t>2</w:t>
      </w:r>
      <w:r>
        <w:rPr>
          <w:rFonts w:hint="eastAsia" w:ascii="宋体" w:hAnsi="宋体" w:cs="宋体"/>
          <w:color w:val="000000" w:themeColor="text1"/>
          <w:sz w:val="36"/>
          <w:szCs w:val="36"/>
          <w:highlight w:val="none"/>
          <w:lang w:val="en-US" w:eastAsia="zh-CN"/>
          <w14:textFill>
            <w14:solidFill>
              <w14:schemeClr w14:val="tx1"/>
            </w14:solidFill>
          </w14:textFill>
        </w:rPr>
        <w:t>9</w:t>
      </w:r>
      <w:r>
        <w:rPr>
          <w:rFonts w:hint="eastAsia" w:ascii="宋体" w:hAnsi="宋体" w:eastAsia="宋体" w:cs="宋体"/>
          <w:color w:val="000000" w:themeColor="text1"/>
          <w:sz w:val="36"/>
          <w:szCs w:val="36"/>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3ZDczYjcyNWE0NDdiZGI4M2YzNDFkZGE0Njc2NGIifQ=="/>
  </w:docVars>
  <w:rsids>
    <w:rsidRoot w:val="681B3071"/>
    <w:rsid w:val="03455F4E"/>
    <w:rsid w:val="04EB6DA1"/>
    <w:rsid w:val="055E50A5"/>
    <w:rsid w:val="072C4328"/>
    <w:rsid w:val="091D7025"/>
    <w:rsid w:val="0AFE05BC"/>
    <w:rsid w:val="100D394F"/>
    <w:rsid w:val="11F76D42"/>
    <w:rsid w:val="14BF5434"/>
    <w:rsid w:val="16275F40"/>
    <w:rsid w:val="168D7598"/>
    <w:rsid w:val="18AA2E23"/>
    <w:rsid w:val="197D7D98"/>
    <w:rsid w:val="1B8847D2"/>
    <w:rsid w:val="1C44694B"/>
    <w:rsid w:val="22715FC0"/>
    <w:rsid w:val="241672DD"/>
    <w:rsid w:val="28316F85"/>
    <w:rsid w:val="2EB50EFC"/>
    <w:rsid w:val="33681DD8"/>
    <w:rsid w:val="33E22AAC"/>
    <w:rsid w:val="449C358C"/>
    <w:rsid w:val="46F43957"/>
    <w:rsid w:val="4A3239D7"/>
    <w:rsid w:val="51444A36"/>
    <w:rsid w:val="544A4E78"/>
    <w:rsid w:val="5B857E0A"/>
    <w:rsid w:val="5DDE1A54"/>
    <w:rsid w:val="5F59613B"/>
    <w:rsid w:val="601B0D3D"/>
    <w:rsid w:val="619F774C"/>
    <w:rsid w:val="64C86FBA"/>
    <w:rsid w:val="681B3071"/>
    <w:rsid w:val="68F048F6"/>
    <w:rsid w:val="6B3727A3"/>
    <w:rsid w:val="6CFC6581"/>
    <w:rsid w:val="725A7F04"/>
    <w:rsid w:val="74057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Heading1"/>
    <w:basedOn w:val="1"/>
    <w:next w:val="1"/>
    <w:qFormat/>
    <w:uiPriority w:val="0"/>
    <w:pPr>
      <w:keepNext/>
      <w:keepLines/>
      <w:spacing w:before="340" w:after="330" w:line="578" w:lineRule="auto"/>
      <w:jc w:val="both"/>
      <w:textAlignment w:val="baseline"/>
    </w:pPr>
    <w:rPr>
      <w:rFonts w:ascii="Calibri" w:hAnsi="Calibri" w:eastAsia="宋体" w:cs="Times New Roman"/>
      <w:b/>
      <w:bCs/>
      <w:kern w:val="44"/>
      <w:sz w:val="44"/>
      <w:szCs w:val="44"/>
      <w:lang w:val="en-US" w:eastAsia="zh-CN" w:bidi="ar-SA"/>
    </w:rPr>
  </w:style>
  <w:style w:type="paragraph" w:styleId="3">
    <w:name w:val="Normal Indent"/>
    <w:basedOn w:val="1"/>
    <w:next w:val="1"/>
    <w:qFormat/>
    <w:uiPriority w:val="99"/>
    <w:pPr>
      <w:ind w:firstLine="420"/>
    </w:pPr>
  </w:style>
  <w:style w:type="paragraph" w:customStyle="1" w:styleId="6">
    <w:name w:val="p0"/>
    <w:basedOn w:val="1"/>
    <w:qFormat/>
    <w:uiPriority w:val="0"/>
    <w:pPr>
      <w:widowControl/>
      <w:jc w:val="left"/>
    </w:pPr>
    <w:rPr>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1272</Words>
  <Characters>1341</Characters>
  <Lines>0</Lines>
  <Paragraphs>0</Paragraphs>
  <TotalTime>7</TotalTime>
  <ScaleCrop>false</ScaleCrop>
  <LinksUpToDate>false</LinksUpToDate>
  <CharactersWithSpaces>1341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2023-05-29T03:55:00Z</dcterms:created>
  <dc:creator>Administrator</dc:creator>
  <cp:lastModifiedBy>fangfang</cp:lastModifiedBy>
  <dcterms:modified xsi:type="dcterms:W3CDTF">2023-05-30T00:18:48Z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D1F6881620964B1ABA71BFD1A55B7222_11</vt:lpwstr>
  </property>
</Properties>
</file>