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eastAsia="宋体" w:cs="Times New Roman"/>
          <w:b/>
          <w:sz w:val="36"/>
          <w:szCs w:val="36"/>
        </w:rPr>
      </w:pPr>
      <w:r>
        <w:rPr>
          <w:rFonts w:hint="eastAsia" w:ascii="黑体" w:hAnsi="黑体" w:eastAsia="黑体" w:cs="Times New Roman"/>
          <w:color w:val="000000"/>
          <w:sz w:val="32"/>
          <w:szCs w:val="20"/>
        </w:rPr>
        <w:t>附件</w:t>
      </w:r>
    </w:p>
    <w:p>
      <w:pPr>
        <w:jc w:val="center"/>
        <w:rPr>
          <w:rFonts w:ascii="宋体" w:hAnsi="宋体" w:eastAsia="宋体" w:cs="Times New Roman"/>
          <w:b/>
          <w:sz w:val="36"/>
          <w:szCs w:val="36"/>
        </w:rPr>
      </w:pPr>
      <w:r>
        <w:rPr>
          <w:rFonts w:hint="eastAsia" w:ascii="宋体" w:hAnsi="宋体" w:eastAsia="宋体" w:cs="Times New Roman"/>
          <w:b/>
          <w:sz w:val="36"/>
          <w:szCs w:val="36"/>
        </w:rPr>
        <w:t>财政支出项目绩效自评报告</w:t>
      </w:r>
    </w:p>
    <w:p>
      <w:pPr>
        <w:rPr>
          <w:rFonts w:ascii="仿宋_GB2312" w:hAnsi="Times New Roman" w:eastAsia="仿宋_GB2312" w:cs="Times New Roman"/>
          <w:sz w:val="44"/>
          <w:szCs w:val="44"/>
        </w:rPr>
      </w:pPr>
    </w:p>
    <w:p>
      <w:pPr>
        <w:pStyle w:val="5"/>
        <w:bidi w:val="0"/>
      </w:pPr>
      <w:r>
        <w:rPr>
          <w:rFonts w:hint="eastAsia"/>
        </w:rPr>
        <w:t>一、项目基本情况及自评结论</w:t>
      </w:r>
    </w:p>
    <w:p>
      <w:pPr>
        <w:pStyle w:val="6"/>
        <w:bidi w:val="0"/>
      </w:pPr>
      <w:r>
        <w:rPr>
          <w:rFonts w:hint="eastAsia"/>
        </w:rPr>
        <w:t>（一）项目用款单位简要情况</w:t>
      </w:r>
    </w:p>
    <w:p>
      <w:pPr>
        <w:pStyle w:val="4"/>
        <w:bidi w:val="0"/>
        <w:rPr>
          <w:rFonts w:ascii="仿宋_GB2312" w:hAnsi="Times New Roman" w:eastAsia="仿宋_GB2312" w:cs="Times New Roman"/>
          <w:color w:val="17365D"/>
          <w:kern w:val="2"/>
          <w:szCs w:val="32"/>
          <w:lang w:val="en-US" w:eastAsia="zh-CN" w:bidi="ar-SA"/>
        </w:rPr>
      </w:pPr>
      <w:r>
        <w:rPr>
          <w:rFonts w:hint="eastAsia"/>
          <w:lang w:val="en-US" w:eastAsia="zh-CN"/>
        </w:rPr>
        <w:t>我单位乳源瑶族自治县政务服务数据管理局，于2019年3月成立，是县政府工作部门。主要职责：</w:t>
      </w:r>
      <w:r>
        <w:rPr>
          <w:rFonts w:hint="eastAsia"/>
          <w:b/>
          <w:bCs/>
          <w:lang w:val="en-US" w:eastAsia="zh-CN"/>
        </w:rPr>
        <w:t>一是</w:t>
      </w:r>
      <w:r>
        <w:rPr>
          <w:rFonts w:hint="eastAsia"/>
          <w:lang w:val="en-US" w:eastAsia="zh-CN"/>
        </w:rPr>
        <w:t>组织起草全县政务服务和政务信息化相关政策和规范性文件并组织实施；</w:t>
      </w:r>
      <w:r>
        <w:rPr>
          <w:rStyle w:val="8"/>
          <w:rFonts w:hint="eastAsia"/>
          <w:lang w:val="en-US" w:eastAsia="zh-CN"/>
        </w:rPr>
        <w:t>二是</w:t>
      </w:r>
      <w:r>
        <w:rPr>
          <w:rFonts w:hint="eastAsia"/>
          <w:lang w:val="en-US" w:eastAsia="zh-CN"/>
        </w:rPr>
        <w:t>统筹推进全县“数字政府”改革建设，拟订建设规划和年度建设计划并组织实施。负责“数字政府”平台建设运维资金管理工作；</w:t>
      </w:r>
      <w:r>
        <w:rPr>
          <w:rStyle w:val="8"/>
          <w:rFonts w:hint="eastAsia"/>
          <w:lang w:val="en-US" w:eastAsia="zh-CN"/>
        </w:rPr>
        <w:t>三是</w:t>
      </w:r>
      <w:r>
        <w:rPr>
          <w:rFonts w:hint="eastAsia"/>
          <w:lang w:val="en-US" w:eastAsia="zh-CN"/>
        </w:rPr>
        <w:t>负责对全县政务信息化项目建设实施集约化管理，负责县财政资金建设的政务信息系统项目立项审批；</w:t>
      </w:r>
      <w:r>
        <w:rPr>
          <w:rStyle w:val="8"/>
          <w:rFonts w:hint="eastAsia"/>
          <w:lang w:val="en-US" w:eastAsia="zh-CN"/>
        </w:rPr>
        <w:t>四是</w:t>
      </w:r>
      <w:r>
        <w:rPr>
          <w:rFonts w:hint="eastAsia"/>
          <w:lang w:val="en-US" w:eastAsia="zh-CN"/>
        </w:rPr>
        <w:t>负责全县行政审批制度改革、审批服务便民化相关工作，负责全县政务服务事项目录管理和标准化建设；</w:t>
      </w:r>
      <w:r>
        <w:rPr>
          <w:rStyle w:val="8"/>
          <w:rFonts w:hint="eastAsia"/>
          <w:lang w:val="en-US" w:eastAsia="zh-CN"/>
        </w:rPr>
        <w:t>五是</w:t>
      </w:r>
      <w:r>
        <w:rPr>
          <w:rFonts w:hint="eastAsia"/>
          <w:lang w:val="en-US" w:eastAsia="zh-CN"/>
        </w:rPr>
        <w:t>统筹协调县直各部门业务应用系统建设，统筹管理政务云平台和电子政务外网，指导各镇和各部门网上政务应用和建设；</w:t>
      </w:r>
      <w:r>
        <w:rPr>
          <w:rStyle w:val="8"/>
          <w:rFonts w:hint="eastAsia"/>
          <w:lang w:val="en-US" w:eastAsia="zh-CN"/>
        </w:rPr>
        <w:t>六是</w:t>
      </w:r>
      <w:r>
        <w:rPr>
          <w:rFonts w:hint="eastAsia"/>
          <w:lang w:val="en-US" w:eastAsia="zh-CN"/>
        </w:rPr>
        <w:t>贯彻执行政务服务、电子政务标准体系建设和相关标准规范，推进全县政务服务和电子政务标准化工作；</w:t>
      </w:r>
      <w:r>
        <w:rPr>
          <w:rStyle w:val="8"/>
          <w:rFonts w:hint="eastAsia"/>
          <w:lang w:val="en-US" w:eastAsia="zh-CN"/>
        </w:rPr>
        <w:t>七是</w:t>
      </w:r>
      <w:r>
        <w:rPr>
          <w:rFonts w:hint="eastAsia"/>
          <w:lang w:val="en-US" w:eastAsia="zh-CN"/>
        </w:rPr>
        <w:t>组织协调推进政务数据资源共享和开放，统筹政务数据资源的采集、分类、管理、分析和应用工作；</w:t>
      </w:r>
      <w:r>
        <w:rPr>
          <w:rStyle w:val="8"/>
          <w:rFonts w:hint="eastAsia"/>
          <w:lang w:val="en-US" w:eastAsia="zh-CN"/>
        </w:rPr>
        <w:t>八是</w:t>
      </w:r>
      <w:r>
        <w:rPr>
          <w:rFonts w:hint="eastAsia"/>
          <w:lang w:val="en-US" w:eastAsia="zh-CN"/>
        </w:rPr>
        <w:t>统筹全县电子政务基础设施、信息系统、数据资源等安全保障工作，负责“数字政府”平台安全技术和运营体系建设，监督管理全县信息系统和数据库安全；</w:t>
      </w:r>
      <w:r>
        <w:rPr>
          <w:rStyle w:val="8"/>
          <w:rFonts w:hint="eastAsia"/>
          <w:lang w:val="en-US" w:eastAsia="zh-CN"/>
        </w:rPr>
        <w:t>九是</w:t>
      </w:r>
      <w:r>
        <w:rPr>
          <w:rFonts w:hint="eastAsia"/>
          <w:lang w:val="en-US" w:eastAsia="zh-CN"/>
        </w:rPr>
        <w:t>负责公共资源交易相关管理工作；</w:t>
      </w:r>
      <w:r>
        <w:rPr>
          <w:rStyle w:val="8"/>
          <w:rFonts w:hint="eastAsia"/>
          <w:lang w:val="en-US" w:eastAsia="zh-CN"/>
        </w:rPr>
        <w:t>十是</w:t>
      </w:r>
      <w:r>
        <w:rPr>
          <w:rFonts w:hint="eastAsia"/>
          <w:lang w:val="en-US" w:eastAsia="zh-CN"/>
        </w:rPr>
        <w:t>指导县直各部门和镇、村开展政务服务工作；</w:t>
      </w:r>
      <w:r>
        <w:rPr>
          <w:rStyle w:val="8"/>
          <w:rFonts w:hint="eastAsia"/>
          <w:lang w:val="en-US" w:eastAsia="zh-CN"/>
        </w:rPr>
        <w:t>十一是</w:t>
      </w:r>
      <w:r>
        <w:rPr>
          <w:rFonts w:hint="eastAsia"/>
          <w:lang w:val="en-US" w:eastAsia="zh-CN"/>
        </w:rPr>
        <w:t>完成县委、县政府和市政务服务数据管理局交办的其他任务。</w:t>
      </w:r>
    </w:p>
    <w:p>
      <w:pPr>
        <w:pStyle w:val="6"/>
        <w:bidi w:val="0"/>
      </w:pPr>
      <w:r>
        <w:rPr>
          <w:rFonts w:hint="eastAsia"/>
        </w:rPr>
        <w:t>（二）项目实施主要内容及实施程序</w:t>
      </w:r>
    </w:p>
    <w:p>
      <w:pPr>
        <w:pStyle w:val="7"/>
        <w:bidi w:val="0"/>
        <w:rPr>
          <w:rFonts w:ascii="仿宋_GB2312" w:hAnsi="Times New Roman" w:eastAsia="仿宋_GB2312" w:cs="Times New Roman"/>
          <w:szCs w:val="32"/>
        </w:rPr>
      </w:pPr>
      <w:r>
        <w:rPr>
          <w:rFonts w:hint="eastAsia"/>
        </w:rPr>
        <w:t>1</w:t>
      </w:r>
      <w:r>
        <w:rPr>
          <w:rFonts w:hint="eastAsia"/>
          <w:lang w:val="en-US" w:eastAsia="zh-CN"/>
        </w:rPr>
        <w:t>.</w:t>
      </w:r>
      <w:r>
        <w:rPr>
          <w:rFonts w:hint="eastAsia"/>
        </w:rPr>
        <w:t>实施主要内容</w:t>
      </w:r>
    </w:p>
    <w:p>
      <w:pPr>
        <w:pStyle w:val="4"/>
        <w:bidi w:val="0"/>
        <w:rPr>
          <w:lang w:val="en-US" w:eastAsia="zh-CN"/>
        </w:rPr>
      </w:pPr>
      <w:r>
        <w:rPr>
          <w:rFonts w:hint="eastAsia"/>
          <w:lang w:val="en-US" w:eastAsia="zh-CN"/>
        </w:rPr>
        <w:t>做好“数字乳源”平台的运维工作，提升政府管理效能、提高服务企业、服务群众水平为重点，以安全生产、产业发展、政务协同为抓手，以建立智慧亮点应用为核心，打造全市领先的智慧城市。</w:t>
      </w:r>
    </w:p>
    <w:p>
      <w:pPr>
        <w:pStyle w:val="7"/>
        <w:bidi w:val="0"/>
      </w:pPr>
      <w:r>
        <w:rPr>
          <w:rFonts w:hint="eastAsia"/>
          <w:lang w:val="en-US" w:eastAsia="zh-CN"/>
        </w:rPr>
        <w:t>2.</w:t>
      </w:r>
      <w:r>
        <w:rPr>
          <w:rFonts w:hint="eastAsia"/>
        </w:rPr>
        <w:t>实施程序</w:t>
      </w:r>
    </w:p>
    <w:p>
      <w:pPr>
        <w:pStyle w:val="4"/>
        <w:bidi w:val="0"/>
        <w:rPr>
          <w:lang w:val="en-US" w:eastAsia="zh-CN"/>
        </w:rPr>
      </w:pPr>
      <w:r>
        <w:rPr>
          <w:rFonts w:hint="eastAsia"/>
          <w:lang w:val="en-US" w:eastAsia="zh-CN"/>
        </w:rPr>
        <w:t>严格执行采购法、预算法及有关法规制度，</w:t>
      </w:r>
      <w:r>
        <w:rPr>
          <w:rStyle w:val="8"/>
          <w:rFonts w:hint="eastAsia"/>
          <w:lang w:val="en-US" w:eastAsia="zh-CN"/>
        </w:rPr>
        <w:t>一是</w:t>
      </w:r>
      <w:r>
        <w:rPr>
          <w:rFonts w:hint="eastAsia"/>
          <w:lang w:val="en-US" w:eastAsia="zh-CN"/>
        </w:rPr>
        <w:t>项目报批均获得县政府批准、通过县政府投资联席会议或采购监督部门核准后实施，</w:t>
      </w:r>
      <w:r>
        <w:rPr>
          <w:rStyle w:val="8"/>
          <w:rFonts w:hint="eastAsia"/>
          <w:lang w:val="en-US" w:eastAsia="zh-CN"/>
        </w:rPr>
        <w:t>二是</w:t>
      </w:r>
      <w:r>
        <w:rPr>
          <w:rFonts w:hint="eastAsia"/>
          <w:lang w:val="en-US" w:eastAsia="zh-CN"/>
        </w:rPr>
        <w:t>项目核拨均经过县政府办班子会议审核通过并按有关程序办理支付手续。</w:t>
      </w:r>
      <w:r>
        <w:rPr>
          <w:rStyle w:val="8"/>
          <w:rFonts w:hint="eastAsia"/>
          <w:lang w:val="en-US" w:eastAsia="zh-CN"/>
        </w:rPr>
        <w:t>三是</w:t>
      </w:r>
      <w:r>
        <w:rPr>
          <w:rFonts w:hint="eastAsia"/>
          <w:lang w:val="en-US" w:eastAsia="zh-CN"/>
        </w:rPr>
        <w:t>加强项目资金预算管理，项目资金放在财政专户，按项目进度拨付资金，所有支出实行财政集中支付，确保项目有效监管。</w:t>
      </w:r>
      <w:r>
        <w:rPr>
          <w:rStyle w:val="8"/>
          <w:rFonts w:hint="eastAsia"/>
          <w:lang w:val="en-US" w:eastAsia="zh-CN"/>
        </w:rPr>
        <w:t>四是</w:t>
      </w:r>
      <w:r>
        <w:rPr>
          <w:rFonts w:hint="eastAsia"/>
          <w:lang w:val="en-US" w:eastAsia="zh-CN"/>
        </w:rPr>
        <w:t>健全财务管理制度，按照项目招标文件要求和合同条款的建设内容规范使用项目资金，设立了专项管理，做到专款专用。</w:t>
      </w:r>
    </w:p>
    <w:p>
      <w:pPr>
        <w:pStyle w:val="6"/>
        <w:bidi w:val="0"/>
      </w:pPr>
      <w:r>
        <w:rPr>
          <w:rFonts w:hint="eastAsia"/>
        </w:rPr>
        <w:t>（三）综述项目自评等级和分数，并对照佐证材料逐一分析</w:t>
      </w:r>
    </w:p>
    <w:p>
      <w:pPr>
        <w:pStyle w:val="4"/>
        <w:bidi w:val="0"/>
        <w:rPr>
          <w:lang w:val="en-US" w:eastAsia="zh-CN"/>
        </w:rPr>
      </w:pPr>
      <w:r>
        <w:rPr>
          <w:rFonts w:hint="eastAsia"/>
          <w:lang w:val="en-US" w:eastAsia="zh-CN"/>
        </w:rPr>
        <w:t>我单位对整个项目的实施进行了整体评价，自评得分100分，自评等级为优。</w:t>
      </w:r>
    </w:p>
    <w:p>
      <w:pPr>
        <w:pStyle w:val="4"/>
        <w:bidi w:val="0"/>
        <w:rPr>
          <w:lang w:val="en-US" w:eastAsia="zh-CN"/>
        </w:rPr>
      </w:pPr>
      <w:r>
        <w:rPr>
          <w:rFonts w:hint="eastAsia"/>
          <w:lang w:val="en-US" w:eastAsia="zh-CN"/>
        </w:rPr>
        <w:t>1.论证决策。立项论证具有充分性：目标明确、合理；项目符合经济社会发展规划和部门年度工作计划；根据需要制定的中长期实施规划；项目设立时是经过科学决策程序的；资金投向和结构合理，符合相关管理办法；符合公共财政扶持方向及资金设立目标。</w:t>
      </w:r>
    </w:p>
    <w:p>
      <w:pPr>
        <w:pStyle w:val="4"/>
        <w:bidi w:val="0"/>
        <w:rPr>
          <w:lang w:val="en-US" w:eastAsia="zh-CN"/>
        </w:rPr>
      </w:pPr>
      <w:r>
        <w:rPr>
          <w:rFonts w:hint="eastAsia"/>
          <w:lang w:val="en-US" w:eastAsia="zh-CN"/>
        </w:rPr>
        <w:t>2.目标完整性。目标设置包含公共产品内容、数量、质量、成本内容，具体化到指标及目标值。</w:t>
      </w:r>
    </w:p>
    <w:p>
      <w:pPr>
        <w:pStyle w:val="4"/>
        <w:bidi w:val="0"/>
        <w:rPr>
          <w:lang w:val="en-US" w:eastAsia="zh-CN"/>
        </w:rPr>
      </w:pPr>
      <w:r>
        <w:rPr>
          <w:rFonts w:hint="eastAsia"/>
          <w:lang w:val="en-US" w:eastAsia="zh-CN"/>
        </w:rPr>
        <w:t>3.目标科学性。资金绩效目标设置明确、合理、细化、量化，资金绩效目标与项目属性特点、支出内容相关，体现了决策意图，同时合乎客观实际。</w:t>
      </w:r>
    </w:p>
    <w:p>
      <w:pPr>
        <w:pStyle w:val="4"/>
        <w:bidi w:val="0"/>
        <w:rPr>
          <w:lang w:val="en-US" w:eastAsia="zh-CN"/>
        </w:rPr>
      </w:pPr>
      <w:r>
        <w:rPr>
          <w:rFonts w:hint="eastAsia"/>
          <w:lang w:val="en-US" w:eastAsia="zh-CN"/>
        </w:rPr>
        <w:t>4.组织机构。形成了以单位负责人为组长，财务、审计分管领导为副组长，财务人员、项目负责人为成员的自评组织机构。</w:t>
      </w:r>
    </w:p>
    <w:p>
      <w:pPr>
        <w:pStyle w:val="4"/>
        <w:bidi w:val="0"/>
        <w:rPr>
          <w:lang w:val="en-US" w:eastAsia="zh-CN"/>
        </w:rPr>
      </w:pPr>
      <w:r>
        <w:rPr>
          <w:rFonts w:hint="eastAsia"/>
          <w:lang w:val="en-US" w:eastAsia="zh-CN"/>
        </w:rPr>
        <w:t>5.资金到位性。资金到位准确、及时。</w:t>
      </w:r>
    </w:p>
    <w:p>
      <w:pPr>
        <w:pStyle w:val="4"/>
        <w:bidi w:val="0"/>
        <w:rPr>
          <w:lang w:val="en-US" w:eastAsia="zh-CN"/>
        </w:rPr>
      </w:pPr>
      <w:r>
        <w:rPr>
          <w:rFonts w:hint="eastAsia"/>
          <w:lang w:val="en-US" w:eastAsia="zh-CN"/>
        </w:rPr>
        <w:t>6.财务合规性。资金支出规范，包括资金管理、费用支出等制度都能够严格执行，会计核算规范，支出合规，未出现有虚列项目支出的情况，未存在有截留、挤占、挪用项目资金的情况，未存在有超标准开支情况。</w:t>
      </w:r>
    </w:p>
    <w:p>
      <w:pPr>
        <w:pStyle w:val="4"/>
        <w:bidi w:val="0"/>
        <w:rPr>
          <w:lang w:val="en-US" w:eastAsia="zh-CN"/>
        </w:rPr>
      </w:pPr>
      <w:r>
        <w:rPr>
          <w:rFonts w:hint="eastAsia"/>
          <w:lang w:val="en-US" w:eastAsia="zh-CN"/>
        </w:rPr>
        <w:t>7.实施程序。项目实施过程规范：包括项目符合申报条件，申报、批复程序符合相关管理办法。项目预算、结算、验收都履行了相应手续。</w:t>
      </w:r>
    </w:p>
    <w:p>
      <w:pPr>
        <w:pStyle w:val="4"/>
        <w:bidi w:val="0"/>
        <w:rPr>
          <w:lang w:val="en-US" w:eastAsia="zh-CN"/>
        </w:rPr>
      </w:pPr>
      <w:r>
        <w:rPr>
          <w:rFonts w:hint="eastAsia"/>
          <w:lang w:val="en-US" w:eastAsia="zh-CN"/>
        </w:rPr>
        <w:t>8.项目监管。县财政行政政法股对项目进行了检查、监控、督促等管理。</w:t>
      </w:r>
    </w:p>
    <w:p>
      <w:pPr>
        <w:pStyle w:val="4"/>
        <w:bidi w:val="0"/>
        <w:rPr>
          <w:lang w:val="en-US" w:eastAsia="zh-CN"/>
        </w:rPr>
      </w:pPr>
      <w:r>
        <w:rPr>
          <w:rFonts w:hint="eastAsia"/>
          <w:lang w:val="en-US" w:eastAsia="zh-CN"/>
        </w:rPr>
        <w:t>9.预算（成本）控制。在实施项目时能够有效的控制成本，使得实际支出与预算无出入。</w:t>
      </w:r>
    </w:p>
    <w:p>
      <w:pPr>
        <w:pStyle w:val="4"/>
        <w:bidi w:val="0"/>
        <w:rPr>
          <w:rFonts w:ascii="仿宋_GB2312" w:hAnsi="Times New Roman" w:eastAsia="仿宋_GB2312" w:cs="Times New Roman"/>
          <w:color w:val="17365D"/>
          <w:kern w:val="2"/>
          <w:szCs w:val="32"/>
          <w:lang w:val="en-US" w:eastAsia="zh-CN" w:bidi="ar-SA"/>
        </w:rPr>
      </w:pPr>
      <w:r>
        <w:rPr>
          <w:rFonts w:hint="eastAsia"/>
          <w:lang w:val="en-US" w:eastAsia="zh-CN"/>
        </w:rPr>
        <w:t>10.完成进度。截止至</w:t>
      </w:r>
      <w:r>
        <w:rPr>
          <w:lang w:val="en-US" w:eastAsia="zh-CN"/>
        </w:rPr>
        <w:t>20</w:t>
      </w:r>
      <w:r>
        <w:rPr>
          <w:rFonts w:hint="eastAsia"/>
          <w:lang w:val="en-US" w:eastAsia="zh-CN"/>
        </w:rPr>
        <w:t>22年11月，该项资金已经全部使用完毕。</w:t>
      </w:r>
    </w:p>
    <w:p>
      <w:pPr>
        <w:pStyle w:val="5"/>
        <w:bidi w:val="0"/>
      </w:pPr>
      <w:r>
        <w:rPr>
          <w:rFonts w:hint="eastAsia"/>
        </w:rPr>
        <w:t>二、绩效表现</w:t>
      </w:r>
    </w:p>
    <w:p>
      <w:pPr>
        <w:pStyle w:val="6"/>
        <w:bidi w:val="0"/>
      </w:pPr>
      <w:r>
        <w:rPr>
          <w:rFonts w:hint="eastAsia"/>
        </w:rPr>
        <w:t>（一）资金使用绩效</w:t>
      </w:r>
    </w:p>
    <w:p>
      <w:pPr>
        <w:pStyle w:val="7"/>
        <w:bidi w:val="0"/>
      </w:pPr>
      <w:r>
        <w:rPr>
          <w:rFonts w:hint="eastAsia"/>
        </w:rPr>
        <w:t>1</w:t>
      </w:r>
      <w:r>
        <w:rPr>
          <w:rFonts w:hint="eastAsia"/>
          <w:lang w:val="en-US" w:eastAsia="zh-CN"/>
        </w:rPr>
        <w:t>.</w:t>
      </w:r>
      <w:r>
        <w:rPr>
          <w:rFonts w:hint="eastAsia"/>
        </w:rPr>
        <w:t>项目资金实际总投入情况</w:t>
      </w:r>
    </w:p>
    <w:p>
      <w:pPr>
        <w:pStyle w:val="4"/>
        <w:bidi w:val="0"/>
        <w:rPr>
          <w:lang w:val="en-US" w:eastAsia="zh-CN"/>
        </w:rPr>
      </w:pPr>
      <w:r>
        <w:rPr>
          <w:rFonts w:hint="eastAsia"/>
          <w:lang w:val="en-US" w:eastAsia="zh-CN"/>
        </w:rPr>
        <w:t>“数字乳源”平台（一期）运维服务项目2022年实际总投入610428元。</w:t>
      </w:r>
    </w:p>
    <w:p>
      <w:pPr>
        <w:pStyle w:val="7"/>
        <w:bidi w:val="0"/>
      </w:pPr>
      <w:r>
        <w:rPr>
          <w:rFonts w:hint="eastAsia"/>
          <w:lang w:val="en-US" w:eastAsia="zh-CN"/>
        </w:rPr>
        <w:t>2.</w:t>
      </w:r>
      <w:r>
        <w:rPr>
          <w:rFonts w:hint="eastAsia"/>
        </w:rPr>
        <w:t>项目资金实际支出情况</w:t>
      </w:r>
    </w:p>
    <w:p>
      <w:pPr>
        <w:pStyle w:val="4"/>
        <w:bidi w:val="0"/>
        <w:rPr>
          <w:lang w:val="en-US" w:eastAsia="zh-CN"/>
        </w:rPr>
      </w:pPr>
      <w:r>
        <w:rPr>
          <w:rFonts w:hint="eastAsia"/>
          <w:lang w:val="en-US" w:eastAsia="zh-CN"/>
        </w:rPr>
        <w:t>该项目实际支出610428元，其中：于2022年9月支付中国移动通信集团广东有限公司韶关分公司运维服务费560428元，2022年11月支付广州华南信息安全测评中心网络安全等级保护复评费50000元。</w:t>
      </w:r>
    </w:p>
    <w:p>
      <w:pPr>
        <w:pStyle w:val="7"/>
        <w:bidi w:val="0"/>
      </w:pPr>
      <w:r>
        <w:rPr>
          <w:rFonts w:hint="eastAsia"/>
          <w:lang w:val="en-US" w:eastAsia="zh-CN"/>
        </w:rPr>
        <w:t>3.</w:t>
      </w:r>
      <w:r>
        <w:rPr>
          <w:rFonts w:hint="eastAsia"/>
        </w:rPr>
        <w:t>项目的绩效目标完成情况（经济、政治和社会效益）</w:t>
      </w:r>
    </w:p>
    <w:p>
      <w:pPr>
        <w:pStyle w:val="4"/>
        <w:bidi w:val="0"/>
        <w:rPr>
          <w:lang w:val="en-US" w:eastAsia="zh-CN"/>
        </w:rPr>
      </w:pPr>
      <w:r>
        <w:rPr>
          <w:rFonts w:hint="eastAsia"/>
          <w:lang w:val="en-US" w:eastAsia="zh-CN"/>
        </w:rPr>
        <w:t>该项目中，应急指挥综合管理子系统中包含了风险隐患监测、应急指挥调度等功能，地质灾害监测系统（试点）将前端采集到的传感器数据回传并进行分析和展示，该子系统提升了城市危机管理能力。</w:t>
      </w:r>
    </w:p>
    <w:p>
      <w:pPr>
        <w:pStyle w:val="4"/>
        <w:bidi w:val="0"/>
        <w:rPr>
          <w:lang w:val="en-US" w:eastAsia="zh-CN"/>
        </w:rPr>
      </w:pPr>
      <w:r>
        <w:rPr>
          <w:rFonts w:hint="eastAsia"/>
          <w:lang w:val="en-US" w:eastAsia="zh-CN"/>
        </w:rPr>
        <w:t>同时，通过对协同办公系统的改造，数据中心对现有信息资源进行的数据采集和共享交换，实现了移动化办公，进一步提高了惠政、惠民、惠企程度。</w:t>
      </w:r>
    </w:p>
    <w:p>
      <w:pPr>
        <w:pStyle w:val="7"/>
        <w:bidi w:val="0"/>
      </w:pPr>
      <w:r>
        <w:rPr>
          <w:rFonts w:hint="eastAsia"/>
          <w:lang w:val="en-US" w:eastAsia="zh-CN"/>
        </w:rPr>
        <w:t>4.</w:t>
      </w:r>
      <w:r>
        <w:rPr>
          <w:rFonts w:hint="eastAsia"/>
        </w:rPr>
        <w:t>项目资金使用效益，对环境、经济、社会的可持续影响</w:t>
      </w:r>
    </w:p>
    <w:p>
      <w:pPr>
        <w:pStyle w:val="4"/>
        <w:bidi w:val="0"/>
        <w:rPr>
          <w:lang w:val="en-US" w:eastAsia="zh-CN"/>
        </w:rPr>
      </w:pPr>
      <w:r>
        <w:rPr>
          <w:rFonts w:hint="eastAsia"/>
          <w:lang w:val="en-US" w:eastAsia="zh-CN"/>
        </w:rPr>
        <w:t>通过运维使用“数字乳源”平台，提升了政府管理效能、提高了服务企业、服务群众水平，以安全生产、产业发展、政务协同为抓手，进一步带动我县的经济和社会发展水平，以建立智慧亮点应用为核心，打造全市领先的智慧城市。</w:t>
      </w:r>
    </w:p>
    <w:p>
      <w:pPr>
        <w:pStyle w:val="6"/>
        <w:numPr>
          <w:ilvl w:val="0"/>
          <w:numId w:val="1"/>
        </w:numPr>
        <w:bidi w:val="0"/>
      </w:pPr>
      <w:r>
        <w:rPr>
          <w:rFonts w:hint="eastAsia"/>
        </w:rPr>
        <w:t>存在问题</w:t>
      </w:r>
    </w:p>
    <w:p>
      <w:pPr>
        <w:pStyle w:val="4"/>
        <w:bidi w:val="0"/>
        <w:rPr>
          <w:lang w:val="en-US" w:eastAsia="zh-CN"/>
        </w:rPr>
      </w:pPr>
      <w:r>
        <w:rPr>
          <w:rFonts w:hint="eastAsia"/>
          <w:lang w:val="en-US" w:eastAsia="zh-CN"/>
        </w:rPr>
        <w:t>无。</w:t>
      </w:r>
    </w:p>
    <w:p>
      <w:pPr>
        <w:pStyle w:val="5"/>
        <w:bidi w:val="0"/>
      </w:pPr>
      <w:r>
        <w:rPr>
          <w:rFonts w:hint="eastAsia"/>
        </w:rPr>
        <w:t>三、改进意见</w:t>
      </w:r>
    </w:p>
    <w:p>
      <w:pPr>
        <w:pStyle w:val="4"/>
        <w:bidi w:val="0"/>
        <w:rPr>
          <w:lang w:val="en-US" w:eastAsia="zh-CN"/>
        </w:rPr>
      </w:pPr>
      <w:r>
        <w:rPr>
          <w:rFonts w:hint="eastAsia"/>
          <w:lang w:val="en-US" w:eastAsia="zh-CN"/>
        </w:rPr>
        <w:t>无。</w:t>
      </w:r>
    </w:p>
    <w:p>
      <w:pPr>
        <w:pStyle w:val="5"/>
        <w:bidi w:val="0"/>
      </w:pPr>
      <w:bookmarkStart w:id="0" w:name="_GoBack"/>
      <w:bookmarkEnd w:id="0"/>
      <w:r>
        <w:rPr>
          <w:rFonts w:hint="eastAsia"/>
        </w:rPr>
        <w:t>四、其他需要说明的情况</w:t>
      </w:r>
    </w:p>
    <w:p>
      <w:pPr>
        <w:pStyle w:val="4"/>
        <w:bidi w:val="0"/>
        <w:rPr>
          <w:lang w:val="en-US" w:eastAsia="zh-CN"/>
        </w:rPr>
      </w:pPr>
      <w:r>
        <w:rPr>
          <w:rFonts w:hint="eastAsia"/>
          <w:lang w:val="en-US" w:eastAsia="zh-CN"/>
        </w:rPr>
        <w:t>无。</w:t>
      </w:r>
    </w:p>
    <w:p>
      <w:pPr>
        <w:spacing w:line="360" w:lineRule="auto"/>
        <w:ind w:firstLine="640" w:firstLineChars="200"/>
        <w:rPr>
          <w:rFonts w:ascii="仿宋_GB2312" w:hAnsi="Times New Roman" w:eastAsia="仿宋_GB2312" w:cs="Times New Roman"/>
          <w:color w:val="1F497D"/>
          <w:sz w:val="32"/>
          <w:szCs w:val="32"/>
          <w14:textFill>
            <w14:solidFill>
              <w14:srgbClr w14:val="1F497D">
                <w14:lumMod w14:val="60000"/>
                <w14:lumOff w14:val="40000"/>
              </w14:srgbClr>
            </w14:solidFill>
          </w14:textFill>
        </w:rPr>
      </w:pPr>
    </w:p>
    <w:p>
      <w:pPr>
        <w:spacing w:line="360" w:lineRule="auto"/>
        <w:ind w:firstLine="640" w:firstLineChars="200"/>
        <w:rPr>
          <w:rFonts w:ascii="仿宋_GB2312" w:hAnsi="Times New Roman" w:eastAsia="仿宋_GB2312" w:cs="Times New Roman"/>
          <w:color w:val="1F497D"/>
          <w:sz w:val="32"/>
          <w:szCs w:val="32"/>
          <w14:textFill>
            <w14:solidFill>
              <w14:srgbClr w14:val="1F497D">
                <w14:lumMod w14:val="60000"/>
                <w14:lumOff w14:val="40000"/>
              </w14:srgbClr>
            </w14:solidFill>
          </w14:textFill>
        </w:rPr>
      </w:pPr>
    </w:p>
    <w:p>
      <w:pPr>
        <w:pStyle w:val="9"/>
        <w:bidi w:val="0"/>
        <w:rPr>
          <w:lang w:val="en-US" w:eastAsia="zh-CN"/>
        </w:rPr>
      </w:pPr>
      <w:r>
        <w:rPr>
          <w:rFonts w:hint="eastAsia"/>
          <w:lang w:val="en-US" w:eastAsia="zh-CN"/>
        </w:rPr>
        <w:t>乳源瑶族自治县政务服务数据管理局</w:t>
      </w:r>
    </w:p>
    <w:p>
      <w:pPr>
        <w:pStyle w:val="9"/>
        <w:bidi w:val="0"/>
      </w:pPr>
      <w:r>
        <w:rPr>
          <w:rFonts w:hint="eastAsia"/>
          <w:lang w:val="en-US" w:eastAsia="zh-CN"/>
        </w:rPr>
        <w:t>2023年6月6日</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CEE2DB"/>
    <w:multiLevelType w:val="singleLevel"/>
    <w:tmpl w:val="D9CEE2D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yNDIwZjAwMTIyODUzYmYwOTllZDc5OGVjNWQzMTkifQ=="/>
  </w:docVars>
  <w:rsids>
    <w:rsidRoot w:val="00000000"/>
    <w:rsid w:val="2A281FC1"/>
    <w:rsid w:val="2E39202F"/>
    <w:rsid w:val="311D0D90"/>
    <w:rsid w:val="41A60DD7"/>
    <w:rsid w:val="420C1B66"/>
    <w:rsid w:val="48836E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报告正文"/>
    <w:uiPriority w:val="0"/>
    <w:pPr>
      <w:widowControl w:val="0"/>
      <w:spacing w:line="600" w:lineRule="exact"/>
      <w:ind w:firstLine="640" w:firstLineChars="200"/>
      <w:jc w:val="both"/>
    </w:pPr>
    <w:rPr>
      <w:rFonts w:hint="default" w:ascii="仿宋_GB2312" w:hAnsi="仿宋_GB2312" w:eastAsia="仿宋_GB2312" w:cs="Times New Roman"/>
      <w:color w:val="203864" w:themeColor="accent5" w:themeShade="80"/>
      <w:sz w:val="32"/>
      <w:szCs w:val="32"/>
    </w:rPr>
  </w:style>
  <w:style w:type="paragraph" w:customStyle="1" w:styleId="5">
    <w:name w:val="报告标题1"/>
    <w:qFormat/>
    <w:uiPriority w:val="0"/>
    <w:pPr>
      <w:spacing w:line="600" w:lineRule="exact"/>
      <w:ind w:firstLine="640" w:firstLineChars="200"/>
      <w:jc w:val="both"/>
      <w:outlineLvl w:val="0"/>
    </w:pPr>
    <w:rPr>
      <w:rFonts w:hint="eastAsia" w:ascii="黑体" w:hAnsi="黑体" w:eastAsia="黑体" w:cs="Times New Roman"/>
      <w:sz w:val="32"/>
      <w:szCs w:val="32"/>
    </w:rPr>
  </w:style>
  <w:style w:type="paragraph" w:customStyle="1" w:styleId="6">
    <w:name w:val="报告标题2"/>
    <w:uiPriority w:val="0"/>
    <w:pPr>
      <w:widowControl/>
      <w:spacing w:line="600" w:lineRule="exact"/>
      <w:ind w:firstLine="640" w:firstLineChars="200"/>
      <w:outlineLvl w:val="1"/>
    </w:pPr>
    <w:rPr>
      <w:rFonts w:hint="eastAsia" w:ascii="楷体_GB2312" w:hAnsi="楷体_GB2312" w:eastAsia="楷体_GB2312" w:cs="Times New Roman"/>
      <w:sz w:val="32"/>
      <w:szCs w:val="32"/>
    </w:rPr>
  </w:style>
  <w:style w:type="paragraph" w:customStyle="1" w:styleId="7">
    <w:name w:val="报告标题3"/>
    <w:qFormat/>
    <w:uiPriority w:val="0"/>
    <w:pPr>
      <w:spacing w:line="600" w:lineRule="exact"/>
      <w:ind w:firstLine="640" w:firstLineChars="200"/>
      <w:jc w:val="both"/>
      <w:outlineLvl w:val="2"/>
    </w:pPr>
    <w:rPr>
      <w:rFonts w:hint="eastAsia" w:ascii="仿宋_GB2312" w:hAnsi="仿宋_GB2312" w:eastAsia="仿宋_GB2312" w:cs="Times New Roman"/>
      <w:sz w:val="32"/>
      <w:szCs w:val="32"/>
    </w:rPr>
  </w:style>
  <w:style w:type="character" w:customStyle="1" w:styleId="8">
    <w:name w:val="报告正文要点"/>
    <w:basedOn w:val="3"/>
    <w:uiPriority w:val="0"/>
    <w:rPr>
      <w:rFonts w:hint="eastAsia" w:ascii="Calibri" w:hAnsi="Calibri"/>
      <w:b/>
      <w:bCs/>
      <w:lang w:val="en-US" w:eastAsia="zh-CN"/>
    </w:rPr>
  </w:style>
  <w:style w:type="paragraph" w:customStyle="1" w:styleId="9">
    <w:name w:val="报告落款"/>
    <w:basedOn w:val="4"/>
    <w:uiPriority w:val="0"/>
    <w:pPr>
      <w:ind w:left="3360" w:leftChars="1600" w:firstLine="0" w:firstLineChars="0"/>
      <w:jc w:val="center"/>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1979</Words>
  <Characters>2037</Characters>
  <Lines>0</Lines>
  <Paragraphs>0</Paragraphs>
  <TotalTime>11</TotalTime>
  <ScaleCrop>false</ScaleCrop>
  <LinksUpToDate>false</LinksUpToDate>
  <CharactersWithSpaces>2037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2023-06-19T02:37:00Z</dcterms:created>
  <dc:creator>admin</dc:creator>
  <cp:lastModifiedBy>吴昊</cp:lastModifiedBy>
  <dcterms:modified xsi:type="dcterms:W3CDTF">2023-06-21T02:09:52Z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59B8F574D8BC498CB908D5C896CC900A</vt:lpwstr>
  </property>
</Properties>
</file>